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90F4C" w14:textId="77777777" w:rsidR="0062640D" w:rsidRDefault="00C12A80">
      <w:pPr>
        <w:pStyle w:val="Section-Heading"/>
      </w:pPr>
      <w:r>
        <w:t>Notes to the consolidated financial statements</w:t>
      </w:r>
    </w:p>
    <w:p w14:paraId="7C3C93BF" w14:textId="77777777" w:rsidR="0062640D" w:rsidRDefault="00C12A80">
      <w:pPr>
        <w:pStyle w:val="Sub-Section-Heading"/>
      </w:pPr>
      <w:r>
        <w:t>forming part of the consolidated financial statements</w:t>
      </w:r>
    </w:p>
    <w:p w14:paraId="3AFD0EFC" w14:textId="77777777" w:rsidR="0062640D" w:rsidRDefault="0062640D"/>
    <w:p w14:paraId="1934A90C" w14:textId="77777777" w:rsidR="0062640D" w:rsidRDefault="00C12A80">
      <w:pPr>
        <w:pStyle w:val="Heading-1"/>
      </w:pPr>
      <w:r>
        <w:t>1 Material accounting policies</w:t>
      </w:r>
    </w:p>
    <w:p w14:paraId="1446007D" w14:textId="77777777" w:rsidR="0062640D" w:rsidRDefault="0062640D">
      <w:pPr>
        <w:pStyle w:val="Heading-2"/>
      </w:pPr>
    </w:p>
    <w:p w14:paraId="5C8D67B1" w14:textId="77777777" w:rsidR="0062640D" w:rsidRDefault="00C12A80">
      <w:pPr>
        <w:pStyle w:val="Heading-2"/>
      </w:pPr>
      <w:r>
        <w:t>General information and basis of preparation</w:t>
      </w:r>
    </w:p>
    <w:p w14:paraId="37CFD88E" w14:textId="162E68D9" w:rsidR="0062640D" w:rsidRDefault="00C12A80">
      <w:r>
        <w:t xml:space="preserve">Dalata Hotel Group plc (the ‘Company’) is a Company domiciled in the Republic of Ireland. The Company’s registered office is Termini, 3 Arkle Road, Sandyford Business Park, Dublin 18. The consolidated financial statements of the Company for the year ended 31 December 2024 include the Company and its subsidiaries (together referred to as the ‘Group’). The financial statements were authorised for issue by the Directors on </w:t>
      </w:r>
      <w:r w:rsidR="00BE259F">
        <w:t>5</w:t>
      </w:r>
      <w:r>
        <w:t xml:space="preserve"> March 2025. </w:t>
      </w:r>
    </w:p>
    <w:p w14:paraId="3BB37E9A" w14:textId="77777777" w:rsidR="0062640D" w:rsidRDefault="0062640D"/>
    <w:p w14:paraId="30F8679A" w14:textId="53E9311F" w:rsidR="0062640D" w:rsidRDefault="00C12A80">
      <w:r>
        <w:t>The consolidated financial statements have been prepared in accordance with IFRS, as adopted by the EU. In the preparation of these consolidated financial statements the accounting policies set out below have been applied consistently by all Group companies.</w:t>
      </w:r>
    </w:p>
    <w:p w14:paraId="2625351E" w14:textId="77777777" w:rsidR="00D17BFC" w:rsidRDefault="00D17BFC"/>
    <w:p w14:paraId="44AB3A37" w14:textId="77777777" w:rsidR="0062640D" w:rsidRDefault="00C12A80">
      <w:r>
        <w:t xml:space="preserve">The preparation of financial statements in accordance with IFRS as adopted by the EU requires the Directors to make estimates and assumptions that affect the reported amounts of assets and liabilities, as well as disclosure of contingent assets and liabilities, at the date of the financial statements, and the reported amounts of revenues and expenses during the reporting year. Such estimates and judgements are based on historical experience and other factors, including expectation of future events, that are believed to be reasonable under the circumstances and are subject to continued re-evaluation. Actual outcomes could differ from those estimates. </w:t>
      </w:r>
    </w:p>
    <w:p w14:paraId="77E51D74" w14:textId="77777777" w:rsidR="0062640D" w:rsidRDefault="0062640D"/>
    <w:p w14:paraId="2BA7E44D" w14:textId="77777777" w:rsidR="0062640D" w:rsidRDefault="00C12A80">
      <w:r>
        <w:t>In preparing these consolidated financial statements, the key judgements and estimates impacting these consolidated financial statements were as follows:</w:t>
      </w:r>
    </w:p>
    <w:p w14:paraId="62EE2CDF" w14:textId="77777777" w:rsidR="0062640D" w:rsidRDefault="0062640D"/>
    <w:p w14:paraId="663C4B1D" w14:textId="77777777" w:rsidR="0062640D" w:rsidRDefault="00C12A80">
      <w:r>
        <w:t xml:space="preserve">Significant judgements </w:t>
      </w:r>
    </w:p>
    <w:p w14:paraId="321A8B27" w14:textId="65A8B040" w:rsidR="0062640D" w:rsidRDefault="00C12A80">
      <w:pPr>
        <w:pStyle w:val="List-Unordered"/>
      </w:pPr>
      <w:r>
        <w:t>Carrying value of property measured at fair value (</w:t>
      </w:r>
      <w:hyperlink w:anchor="note-10" w:history="1">
        <w:r w:rsidRPr="001D58A0">
          <w:rPr>
            <w:rStyle w:val="Hyperlink"/>
          </w:rPr>
          <w:t>note 10</w:t>
        </w:r>
      </w:hyperlink>
      <w:r>
        <w:rPr>
          <w:rStyle w:val="Hyperlink"/>
        </w:rPr>
        <w:t xml:space="preserve">, </w:t>
      </w:r>
      <w:hyperlink w:anchor="note-13" w:history="1">
        <w:r w:rsidRPr="001D58A0">
          <w:rPr>
            <w:rStyle w:val="Hyperlink"/>
          </w:rPr>
          <w:t>13</w:t>
        </w:r>
      </w:hyperlink>
      <w:r w:rsidR="002435CC">
        <w:rPr>
          <w:rStyle w:val="Hyperlink"/>
        </w:rPr>
        <w:t xml:space="preserve">, </w:t>
      </w:r>
      <w:hyperlink w:anchor="note-18" w:history="1">
        <w:r w:rsidR="002435CC" w:rsidRPr="001D58A0">
          <w:rPr>
            <w:rStyle w:val="Hyperlink"/>
          </w:rPr>
          <w:t>18</w:t>
        </w:r>
      </w:hyperlink>
      <w:r>
        <w:t>).</w:t>
      </w:r>
    </w:p>
    <w:p w14:paraId="3F59150F" w14:textId="77777777" w:rsidR="0062640D" w:rsidRDefault="0062640D"/>
    <w:p w14:paraId="5789BBA3" w14:textId="77777777" w:rsidR="0062640D" w:rsidRDefault="00C12A80">
      <w:r>
        <w:t>Key sources of estimation uncertainty</w:t>
      </w:r>
    </w:p>
    <w:p w14:paraId="59F0383A" w14:textId="6D86CA98" w:rsidR="0062640D" w:rsidRDefault="00C12A80">
      <w:pPr>
        <w:pStyle w:val="List-Unordered"/>
      </w:pPr>
      <w:r>
        <w:t>Carrying value of property measured at fair value (</w:t>
      </w:r>
      <w:hyperlink w:anchor="note-10" w:history="1">
        <w:r w:rsidRPr="001D58A0">
          <w:rPr>
            <w:rStyle w:val="Hyperlink"/>
          </w:rPr>
          <w:t>note 10</w:t>
        </w:r>
      </w:hyperlink>
      <w:r>
        <w:rPr>
          <w:rStyle w:val="Hyperlink"/>
        </w:rPr>
        <w:t xml:space="preserve">, </w:t>
      </w:r>
      <w:hyperlink w:anchor="note-13" w:history="1">
        <w:r w:rsidRPr="001D58A0">
          <w:rPr>
            <w:rStyle w:val="Hyperlink"/>
          </w:rPr>
          <w:t>13</w:t>
        </w:r>
      </w:hyperlink>
      <w:r w:rsidR="002435CC">
        <w:rPr>
          <w:rStyle w:val="Hyperlink"/>
        </w:rPr>
        <w:t xml:space="preserve">, </w:t>
      </w:r>
      <w:hyperlink w:anchor="note-18" w:history="1">
        <w:r w:rsidR="002435CC" w:rsidRPr="001D58A0">
          <w:rPr>
            <w:rStyle w:val="Hyperlink"/>
          </w:rPr>
          <w:t>18</w:t>
        </w:r>
      </w:hyperlink>
      <w:r>
        <w:t>); and</w:t>
      </w:r>
    </w:p>
    <w:p w14:paraId="6FA9E501" w14:textId="3A5F743D" w:rsidR="0062640D" w:rsidRDefault="00C12A80">
      <w:pPr>
        <w:pStyle w:val="List-Unordered"/>
      </w:pPr>
      <w:r>
        <w:t>Carrying value of goodwill and right-of-use assets including assumptions underpinning value in use (‘VIU’) calculations in the impairment tests (</w:t>
      </w:r>
      <w:r>
        <w:rPr>
          <w:rStyle w:val="Hyperlink"/>
        </w:rPr>
        <w:t xml:space="preserve">notes </w:t>
      </w:r>
      <w:hyperlink w:anchor="note-10" w:history="1">
        <w:r w:rsidRPr="001D58A0">
          <w:rPr>
            <w:rStyle w:val="Hyperlink"/>
          </w:rPr>
          <w:t>10</w:t>
        </w:r>
      </w:hyperlink>
      <w:r w:rsidRPr="000F528B">
        <w:rPr>
          <w:rStyle w:val="Hyperlink"/>
        </w:rPr>
        <w:t xml:space="preserve">, </w:t>
      </w:r>
      <w:hyperlink w:anchor="note-12" w:history="1">
        <w:r w:rsidRPr="001D58A0">
          <w:rPr>
            <w:rStyle w:val="Hyperlink"/>
          </w:rPr>
          <w:t>12</w:t>
        </w:r>
      </w:hyperlink>
      <w:r w:rsidRPr="000F528B">
        <w:rPr>
          <w:rStyle w:val="Hyperlink"/>
        </w:rPr>
        <w:t xml:space="preserve">, </w:t>
      </w:r>
      <w:hyperlink w:anchor="note-13" w:history="1">
        <w:r w:rsidRPr="001D58A0">
          <w:rPr>
            <w:rStyle w:val="Hyperlink"/>
          </w:rPr>
          <w:t>13</w:t>
        </w:r>
      </w:hyperlink>
      <w:r w:rsidR="002435CC">
        <w:rPr>
          <w:rStyle w:val="Hyperlink"/>
        </w:rPr>
        <w:t xml:space="preserve">, </w:t>
      </w:r>
      <w:hyperlink w:anchor="note-18" w:history="1">
        <w:r w:rsidR="002435CC" w:rsidRPr="001D58A0">
          <w:rPr>
            <w:rStyle w:val="Hyperlink"/>
          </w:rPr>
          <w:t>18</w:t>
        </w:r>
      </w:hyperlink>
      <w:r>
        <w:t>).</w:t>
      </w:r>
    </w:p>
    <w:p w14:paraId="63C352B2" w14:textId="77777777" w:rsidR="0062640D" w:rsidRDefault="0062640D"/>
    <w:p w14:paraId="57484FC1" w14:textId="77777777" w:rsidR="0062640D" w:rsidRDefault="00C12A80">
      <w:pPr>
        <w:pStyle w:val="Heading-3"/>
      </w:pPr>
      <w:r>
        <w:t>Measurement of fair values</w:t>
      </w:r>
    </w:p>
    <w:p w14:paraId="0C2877D5" w14:textId="77777777" w:rsidR="0062640D" w:rsidRDefault="00C12A80">
      <w:proofErr w:type="gramStart"/>
      <w:r>
        <w:t>A number of</w:t>
      </w:r>
      <w:proofErr w:type="gramEnd"/>
      <w:r>
        <w:t xml:space="preserve"> the Group’s accounting policies and disclosures require the measurement of assets and liabilities at fair value. When measuring the fair value of an asset or liability, the Group uses observable market data as far as possible, with non-financial assets being measured on a highest and best-use basis. Fair values are categorised into different levels in a fair value hierarchy based on the inputs used in the valuation techniques as follows:</w:t>
      </w:r>
    </w:p>
    <w:p w14:paraId="0789DC42" w14:textId="77777777" w:rsidR="0062640D" w:rsidRDefault="0062640D"/>
    <w:p w14:paraId="4ED37417" w14:textId="77777777" w:rsidR="0062640D" w:rsidRDefault="00C12A80">
      <w:r>
        <w:rPr>
          <w:rStyle w:val="Italic"/>
        </w:rPr>
        <w:t>Level 1</w:t>
      </w:r>
      <w:r>
        <w:t>: quoted prices (unadjusted) in active markets for identical assets or liabilities.</w:t>
      </w:r>
    </w:p>
    <w:p w14:paraId="21198554" w14:textId="77777777" w:rsidR="0062640D" w:rsidRDefault="0062640D"/>
    <w:p w14:paraId="6B1C9B5D" w14:textId="77777777" w:rsidR="0062640D" w:rsidRDefault="00C12A80">
      <w:r>
        <w:rPr>
          <w:rStyle w:val="Italic"/>
        </w:rPr>
        <w:t>Level 2</w:t>
      </w:r>
      <w:r>
        <w:t>: inputs other than quoted prices included in Level 1 that are observable for the asset or liability, either directly (i.e. as prices) or indirectly (i.e. derived from prices).</w:t>
      </w:r>
    </w:p>
    <w:p w14:paraId="4381334C" w14:textId="77777777" w:rsidR="0062640D" w:rsidRDefault="0062640D"/>
    <w:p w14:paraId="4E99D5D5" w14:textId="77777777" w:rsidR="0062640D" w:rsidRDefault="00C12A80">
      <w:r>
        <w:rPr>
          <w:rStyle w:val="Italic"/>
        </w:rPr>
        <w:t>Level 3</w:t>
      </w:r>
      <w:r>
        <w:t>: inputs for the asset or liability that are not based on observable market data (unobservable inputs).</w:t>
      </w:r>
    </w:p>
    <w:p w14:paraId="7EAD2371" w14:textId="77777777" w:rsidR="0062640D" w:rsidRDefault="0062640D"/>
    <w:p w14:paraId="5335A8CD" w14:textId="37EC8991" w:rsidR="0062640D" w:rsidRDefault="00C12A80">
      <w:r>
        <w:t xml:space="preserve">Further information about the assumptions made in measuring fair values is included in </w:t>
      </w:r>
      <w:hyperlink w:anchor="note-25" w:history="1">
        <w:r w:rsidRPr="001D58A0">
          <w:rPr>
            <w:rStyle w:val="Hyperlink"/>
          </w:rPr>
          <w:t>note 25</w:t>
        </w:r>
      </w:hyperlink>
      <w:r>
        <w:t xml:space="preserve"> – Financial instruments and risk management (in relation to financial assets and financial liabilities) and </w:t>
      </w:r>
      <w:hyperlink w:anchor="note-13" w:history="1">
        <w:r w:rsidRPr="001D58A0">
          <w:rPr>
            <w:rStyle w:val="Hyperlink"/>
          </w:rPr>
          <w:t>note 13</w:t>
        </w:r>
      </w:hyperlink>
      <w:r>
        <w:t xml:space="preserve"> – Property, plant and equipment.</w:t>
      </w:r>
    </w:p>
    <w:p w14:paraId="4C9998F6" w14:textId="77777777" w:rsidR="0062640D" w:rsidRDefault="0062640D"/>
    <w:p w14:paraId="3B8E0310" w14:textId="77777777" w:rsidR="0062640D" w:rsidRDefault="00C12A80">
      <w:pPr>
        <w:pStyle w:val="Heading-2"/>
      </w:pPr>
      <w:r>
        <w:t>(</w:t>
      </w:r>
      <w:proofErr w:type="spellStart"/>
      <w:r>
        <w:t>i</w:t>
      </w:r>
      <w:proofErr w:type="spellEnd"/>
      <w:r>
        <w:t>) Going concern</w:t>
      </w:r>
    </w:p>
    <w:p w14:paraId="521853A7" w14:textId="169C7629" w:rsidR="0062640D" w:rsidRDefault="00C12A80">
      <w:r>
        <w:t xml:space="preserve">The year ended 31 December 2024 saw the Group deliver strong results and continue the execution of its growth strategy. The full year impact of hotels added in the previous year and the addition of new openings in the current year has led to an increase in Group revenue from hotel operations from €607.7 million to €652.2 million, as well as net cash generated from operating activities in the year of </w:t>
      </w:r>
      <w:r w:rsidR="00185697">
        <w:t>€218.3</w:t>
      </w:r>
      <w:r>
        <w:t xml:space="preserve"> million (2023: €171.4 million).</w:t>
      </w:r>
    </w:p>
    <w:p w14:paraId="0A4E1B84" w14:textId="77777777" w:rsidR="0062640D" w:rsidRDefault="00C12A80">
      <w:r>
        <w:t xml:space="preserve"> </w:t>
      </w:r>
    </w:p>
    <w:p w14:paraId="7182555E" w14:textId="09B2F1D0" w:rsidR="0062640D" w:rsidRDefault="00C12A80">
      <w:r>
        <w:t xml:space="preserve">The Group remains in a very strong financial position with significant financial headroom. The Group </w:t>
      </w:r>
      <w:r w:rsidR="00D6425E">
        <w:t xml:space="preserve">has cash and </w:t>
      </w:r>
      <w:r>
        <w:t xml:space="preserve">undrawn loan facilities of </w:t>
      </w:r>
      <w:r w:rsidR="002435CC">
        <w:t>€</w:t>
      </w:r>
      <w:r w:rsidR="00D6425E">
        <w:t>364.</w:t>
      </w:r>
      <w:r w:rsidR="001F47B8">
        <w:t>6</w:t>
      </w:r>
      <w:r>
        <w:t xml:space="preserve"> million (2023: €283.5 million). The Group is in full compliance with its </w:t>
      </w:r>
      <w:r w:rsidR="00012662">
        <w:t xml:space="preserve">external borrowing </w:t>
      </w:r>
      <w:r>
        <w:t xml:space="preserve">covenants at 31 December 2024. During the financial year, the Group refinanced </w:t>
      </w:r>
      <w:r w:rsidR="004310ED">
        <w:t xml:space="preserve">its </w:t>
      </w:r>
      <w:r>
        <w:t xml:space="preserve">existing debt facilities, entering new facilities of </w:t>
      </w:r>
      <w:r w:rsidR="00C57339">
        <w:t xml:space="preserve">circa </w:t>
      </w:r>
      <w:r>
        <w:t>€600</w:t>
      </w:r>
      <w:r w:rsidR="00C24A2F">
        <w:t>.0</w:t>
      </w:r>
      <w:r w:rsidR="002435CC">
        <w:t xml:space="preserve"> </w:t>
      </w:r>
      <w:r>
        <w:t>m</w:t>
      </w:r>
      <w:r w:rsidR="002435CC">
        <w:t>illion</w:t>
      </w:r>
      <w:r>
        <w:t>, comprising a green term loan facility of €100</w:t>
      </w:r>
      <w:r w:rsidR="00C24A2F">
        <w:t>.0</w:t>
      </w:r>
      <w:r>
        <w:t xml:space="preserve"> million, a multi-currency revolving credit facility of €375</w:t>
      </w:r>
      <w:r w:rsidR="00C24A2F">
        <w:t>.0</w:t>
      </w:r>
      <w:r>
        <w:t xml:space="preserve"> million an</w:t>
      </w:r>
      <w:r w:rsidR="002435CC">
        <w:t>d</w:t>
      </w:r>
      <w:r>
        <w:t xml:space="preserve"> private placement</w:t>
      </w:r>
      <w:r w:rsidR="00C3505E">
        <w:t xml:space="preserve"> loan note</w:t>
      </w:r>
      <w:r w:rsidR="00E34D4D">
        <w:t>s</w:t>
      </w:r>
      <w:r>
        <w:t xml:space="preserve"> of €1</w:t>
      </w:r>
      <w:r w:rsidR="00D76FF6">
        <w:t>24.7</w:t>
      </w:r>
      <w:r w:rsidR="002435CC">
        <w:t xml:space="preserve"> </w:t>
      </w:r>
      <w:r>
        <w:t>m</w:t>
      </w:r>
      <w:r w:rsidR="002435CC">
        <w:t>illion</w:t>
      </w:r>
      <w:r>
        <w:t>. The new facilities have maturity profiles of between five and seven years. Current base projections show compliance with all covenants at all future testing dates and significant levels of headroom.</w:t>
      </w:r>
    </w:p>
    <w:p w14:paraId="3011DCC1" w14:textId="77777777" w:rsidR="0062640D" w:rsidRDefault="00C12A80">
      <w:r>
        <w:t xml:space="preserve"> </w:t>
      </w:r>
    </w:p>
    <w:p w14:paraId="1F958B8B" w14:textId="765B5061" w:rsidR="00327F6E" w:rsidRDefault="00327F6E" w:rsidP="00327F6E">
      <w:r>
        <w:t>The Directors have considered the above, with all available information, and the current liquidity and financial position in assessing the going concern of the Group. On this basis, the Directors have prepared these consolidated financial statements on a going concern basis. Furthermore, they do not believe there is any material uncertainty related to events or conditions that may cast significant doubt on the Group’s ability to continue as a going concern f</w:t>
      </w:r>
      <w:r w:rsidRPr="00E96CF1">
        <w:t>or a period of at least 12 months after the date of these financial statements</w:t>
      </w:r>
      <w:r>
        <w:t xml:space="preserve">. </w:t>
      </w:r>
    </w:p>
    <w:p w14:paraId="3A0E5D5A" w14:textId="77777777" w:rsidR="0062640D" w:rsidRDefault="0062640D"/>
    <w:p w14:paraId="54202860" w14:textId="77777777" w:rsidR="0062640D" w:rsidRDefault="00C12A80">
      <w:pPr>
        <w:pStyle w:val="Heading-2"/>
      </w:pPr>
      <w:r>
        <w:t xml:space="preserve">(ii) Statement of compliance </w:t>
      </w:r>
    </w:p>
    <w:p w14:paraId="70B9CD2E" w14:textId="77777777" w:rsidR="0062640D" w:rsidRDefault="00C12A80">
      <w:r>
        <w:t>The consolidated financial statements have been prepared in accordance with International Financial Reporting Standards (‘IFRS’) and their interpretations issued by the International Accounting Standards Board (‘IASB’) as adopted by the EU and those parts of the Companies Act 2014 applicable to companies reporting under IFRS and Article 4 of the IAS Regulation.</w:t>
      </w:r>
    </w:p>
    <w:p w14:paraId="2301438A" w14:textId="77777777" w:rsidR="0062640D" w:rsidRDefault="0062640D"/>
    <w:p w14:paraId="0288D948" w14:textId="77777777" w:rsidR="0062640D" w:rsidRDefault="00C12A80">
      <w:r>
        <w:t>The following standards and interpretations were effective for the Group for the first time from 1 January 2024:</w:t>
      </w:r>
    </w:p>
    <w:p w14:paraId="570451F5" w14:textId="77777777" w:rsidR="0062640D" w:rsidRDefault="00C12A80">
      <w:pPr>
        <w:pStyle w:val="List-Unordered"/>
      </w:pPr>
      <w:r>
        <w:t xml:space="preserve">Amendments to IAS 1 </w:t>
      </w:r>
      <w:r>
        <w:rPr>
          <w:rStyle w:val="Italic"/>
        </w:rPr>
        <w:t>Classification of Liabilities as Current or Non-Current, and Non-current Liabilities with Covenants.</w:t>
      </w:r>
    </w:p>
    <w:p w14:paraId="5BC903B0" w14:textId="77777777" w:rsidR="0062640D" w:rsidRDefault="00C12A80">
      <w:pPr>
        <w:pStyle w:val="List-Unordered"/>
      </w:pPr>
      <w:r>
        <w:t>Amendments to IFRS 16</w:t>
      </w:r>
      <w:r>
        <w:rPr>
          <w:rStyle w:val="Italic"/>
        </w:rPr>
        <w:t xml:space="preserve"> Lease Liability in a Sale and Leaseback. </w:t>
      </w:r>
    </w:p>
    <w:p w14:paraId="499F660E" w14:textId="77777777" w:rsidR="0062640D" w:rsidRDefault="00C12A80">
      <w:pPr>
        <w:pStyle w:val="List-Unordered"/>
      </w:pPr>
      <w:r>
        <w:t xml:space="preserve">Amendments to IAS 7 </w:t>
      </w:r>
      <w:r>
        <w:rPr>
          <w:rStyle w:val="Italic"/>
        </w:rPr>
        <w:t xml:space="preserve">Statement of Cash Flows </w:t>
      </w:r>
      <w:r>
        <w:t xml:space="preserve">and IFRS 7 </w:t>
      </w:r>
      <w:r>
        <w:rPr>
          <w:rStyle w:val="Italic"/>
        </w:rPr>
        <w:t>Financial Instruments</w:t>
      </w:r>
      <w:r>
        <w:t xml:space="preserve">: Disclosures: </w:t>
      </w:r>
      <w:r w:rsidRPr="00F772C3">
        <w:rPr>
          <w:i/>
          <w:iCs/>
        </w:rPr>
        <w:t>Supplier Finance Arrangements.</w:t>
      </w:r>
    </w:p>
    <w:p w14:paraId="031B0F3E" w14:textId="77777777" w:rsidR="0062640D" w:rsidRDefault="0062640D"/>
    <w:p w14:paraId="40245D12" w14:textId="77777777" w:rsidR="0062640D" w:rsidRDefault="00C12A80">
      <w:r>
        <w:t>The above standards, amendments and interpretations have no material impact on the consolidated financial statements of the Group.</w:t>
      </w:r>
    </w:p>
    <w:p w14:paraId="4E134113" w14:textId="77777777" w:rsidR="0062640D" w:rsidRDefault="0062640D"/>
    <w:p w14:paraId="53B455F6" w14:textId="77777777" w:rsidR="0062640D" w:rsidRDefault="00C12A80">
      <w:pPr>
        <w:pStyle w:val="Heading-3"/>
      </w:pPr>
      <w:r>
        <w:t>Accounting policies</w:t>
      </w:r>
    </w:p>
    <w:p w14:paraId="485292F6" w14:textId="0F29E8E0" w:rsidR="0062640D" w:rsidRDefault="00C12A80">
      <w:r>
        <w:t>The accounting policies applied in these consolidated financial statements are consistent with those applied in the consolidated financial statements as at and for the year ended 31 December 2023, apart from the accounting policy for held for sale assets and liabilities (</w:t>
      </w:r>
      <w:r>
        <w:rPr>
          <w:rStyle w:val="Hyperlink"/>
        </w:rPr>
        <w:t>x</w:t>
      </w:r>
      <w:r w:rsidR="00EA7661">
        <w:rPr>
          <w:rStyle w:val="Hyperlink"/>
        </w:rPr>
        <w:t>v</w:t>
      </w:r>
      <w:r>
        <w:rPr>
          <w:rStyle w:val="Hyperlink"/>
        </w:rPr>
        <w:t>i</w:t>
      </w:r>
      <w:r w:rsidR="00EA7661">
        <w:rPr>
          <w:rStyle w:val="Hyperlink"/>
        </w:rPr>
        <w:t>i</w:t>
      </w:r>
      <w:r>
        <w:t>).</w:t>
      </w:r>
    </w:p>
    <w:p w14:paraId="22DCC3FB" w14:textId="77777777" w:rsidR="0062640D" w:rsidRDefault="0062640D">
      <w:pPr>
        <w:pStyle w:val="Heading-3"/>
      </w:pPr>
    </w:p>
    <w:p w14:paraId="0A573B25" w14:textId="77777777" w:rsidR="0062640D" w:rsidRDefault="00C12A80">
      <w:pPr>
        <w:pStyle w:val="Heading-3"/>
      </w:pPr>
      <w:r>
        <w:t>Standards issued but not yet effective</w:t>
      </w:r>
    </w:p>
    <w:p w14:paraId="4F84AE71" w14:textId="77777777" w:rsidR="0062640D" w:rsidRDefault="00C12A80">
      <w:r>
        <w:t xml:space="preserve">The following amendments to standards have been endorsed by the EU, are available for early adoption and are effective from 1 January 2025. The Group has not adopted these amendments to standards </w:t>
      </w:r>
      <w:proofErr w:type="gramStart"/>
      <w:r>
        <w:t>early, and</w:t>
      </w:r>
      <w:proofErr w:type="gramEnd"/>
      <w:r>
        <w:t xml:space="preserve"> instead intends to apply them from their effective date as determined by the date of EU endorsement. The potential impact of these amendments to standards on the Group is under review:</w:t>
      </w:r>
    </w:p>
    <w:p w14:paraId="30250124" w14:textId="77777777" w:rsidR="0062640D" w:rsidRDefault="00C12A80">
      <w:pPr>
        <w:pStyle w:val="List-Unordered"/>
      </w:pPr>
      <w:r>
        <w:t xml:space="preserve">Amendments to IAS 21 </w:t>
      </w:r>
      <w:r>
        <w:rPr>
          <w:rStyle w:val="Italic"/>
        </w:rPr>
        <w:t>The Effects of Changes in Foreign Exchange Rates: Lack of Exchangeability</w:t>
      </w:r>
      <w:r>
        <w:t>.</w:t>
      </w:r>
    </w:p>
    <w:p w14:paraId="16A97E9F" w14:textId="77777777" w:rsidR="0062640D" w:rsidRDefault="0062640D"/>
    <w:p w14:paraId="7F6B6A9B" w14:textId="77777777" w:rsidR="0062640D" w:rsidRDefault="00C12A80">
      <w:r>
        <w:t>The following standards and interpretations are not yet endorsed by the EU. The potential impact of these standards on the Group is under review:</w:t>
      </w:r>
    </w:p>
    <w:p w14:paraId="56E5BC23" w14:textId="77777777" w:rsidR="0062640D" w:rsidRDefault="00C12A80">
      <w:pPr>
        <w:pStyle w:val="List-Unordered"/>
      </w:pPr>
      <w:r>
        <w:t xml:space="preserve">IFRS 19 </w:t>
      </w:r>
      <w:r>
        <w:rPr>
          <w:rStyle w:val="Italic"/>
        </w:rPr>
        <w:t>Subsidiaries without Public Accountability: Disclosures</w:t>
      </w:r>
      <w:r>
        <w:t>. IASB effective date 1 January 2027.</w:t>
      </w:r>
    </w:p>
    <w:p w14:paraId="466F5FE9" w14:textId="77777777" w:rsidR="0062640D" w:rsidRDefault="00C12A80">
      <w:pPr>
        <w:pStyle w:val="List-Unordered"/>
      </w:pPr>
      <w:r>
        <w:t xml:space="preserve">IFRS 18 </w:t>
      </w:r>
      <w:r>
        <w:rPr>
          <w:rStyle w:val="Italic"/>
        </w:rPr>
        <w:t>Presentation and Disclosure in Financial Statements</w:t>
      </w:r>
      <w:r>
        <w:t>. IASB effective date 1 January 2027.</w:t>
      </w:r>
    </w:p>
    <w:p w14:paraId="39BF3547" w14:textId="77777777" w:rsidR="0062640D" w:rsidRDefault="00C12A80">
      <w:pPr>
        <w:pStyle w:val="List-Unordered"/>
      </w:pPr>
      <w:r>
        <w:t xml:space="preserve">Amendments to classification and measurement of financial instruments under IFRS 9 </w:t>
      </w:r>
      <w:r>
        <w:rPr>
          <w:rStyle w:val="Italic"/>
        </w:rPr>
        <w:t>Financial Instruments</w:t>
      </w:r>
      <w:r>
        <w:t xml:space="preserve"> and IFRS 7 </w:t>
      </w:r>
      <w:r>
        <w:rPr>
          <w:rStyle w:val="Italic"/>
        </w:rPr>
        <w:t>Financial Instruments: Disclosures</w:t>
      </w:r>
      <w:r>
        <w:t>. IASB effective date 1 January 2026.</w:t>
      </w:r>
    </w:p>
    <w:p w14:paraId="776BB124" w14:textId="77777777" w:rsidR="0062640D" w:rsidRDefault="00C12A80">
      <w:pPr>
        <w:pStyle w:val="List-Unordered"/>
      </w:pPr>
      <w:r>
        <w:t xml:space="preserve">Amendments to contracts referencing nature-dependent electricity under IFRS 9 </w:t>
      </w:r>
      <w:r>
        <w:rPr>
          <w:rStyle w:val="Italic"/>
        </w:rPr>
        <w:t>Financial Instruments</w:t>
      </w:r>
      <w:r>
        <w:t xml:space="preserve"> and IFRS 7 </w:t>
      </w:r>
      <w:r>
        <w:rPr>
          <w:rStyle w:val="Italic"/>
        </w:rPr>
        <w:t>Financial Instruments: Disclosures</w:t>
      </w:r>
      <w:r>
        <w:t>. IASB effective date 1 January 2026.</w:t>
      </w:r>
    </w:p>
    <w:p w14:paraId="7977B5CD" w14:textId="77777777" w:rsidR="0062640D" w:rsidRDefault="00C12A80">
      <w:pPr>
        <w:pStyle w:val="List-Unordered"/>
      </w:pPr>
      <w:r>
        <w:t xml:space="preserve">Amendments to IFRS 10 </w:t>
      </w:r>
      <w:r>
        <w:rPr>
          <w:rStyle w:val="Italic"/>
        </w:rPr>
        <w:t>Consolidated Financial Statements</w:t>
      </w:r>
      <w:r>
        <w:t xml:space="preserve"> and IAS28 </w:t>
      </w:r>
      <w:r>
        <w:rPr>
          <w:rStyle w:val="Italic"/>
        </w:rPr>
        <w:t xml:space="preserve">Investments in Associates and Joint Ventures for sale or contribution of Assets between an Investor and its Associate or Joint Venture. </w:t>
      </w:r>
      <w:r>
        <w:t>Effective date deferred indefinitely.</w:t>
      </w:r>
    </w:p>
    <w:p w14:paraId="00865FC1" w14:textId="77777777" w:rsidR="0062640D" w:rsidRDefault="0062640D"/>
    <w:p w14:paraId="3E142057" w14:textId="77777777" w:rsidR="0062640D" w:rsidRDefault="00C12A80">
      <w:pPr>
        <w:pStyle w:val="Heading-2"/>
      </w:pPr>
      <w:r>
        <w:t xml:space="preserve">(iii) Functional and presentation currency </w:t>
      </w:r>
    </w:p>
    <w:p w14:paraId="25299069" w14:textId="77777777" w:rsidR="0062640D" w:rsidRDefault="00C12A80">
      <w:r>
        <w:t xml:space="preserve">These consolidated financial statements are presented in Euro, being the functional currency of the Company and </w:t>
      </w:r>
      <w:proofErr w:type="gramStart"/>
      <w:r>
        <w:t>the majority of</w:t>
      </w:r>
      <w:proofErr w:type="gramEnd"/>
      <w:r>
        <w:t xml:space="preserve"> its subsidiaries. All financial information presented in Euro has been rounded to the nearest thousand or million and this is clearly set out in the financial statements where applicable.</w:t>
      </w:r>
    </w:p>
    <w:p w14:paraId="4695D32D" w14:textId="77777777" w:rsidR="0062640D" w:rsidRDefault="0062640D"/>
    <w:p w14:paraId="7CD346AD" w14:textId="77777777" w:rsidR="0062640D" w:rsidRDefault="00C12A80">
      <w:pPr>
        <w:pStyle w:val="Heading-2"/>
      </w:pPr>
      <w:r>
        <w:t>(iv) Basis of consolidation</w:t>
      </w:r>
    </w:p>
    <w:p w14:paraId="504B592D" w14:textId="77777777" w:rsidR="0062640D" w:rsidRDefault="00C12A80">
      <w:r>
        <w:t xml:space="preserve">The consolidated financial statements include the financial statements of the Company and </w:t>
      </w:r>
      <w:proofErr w:type="gramStart"/>
      <w:r>
        <w:t>all of</w:t>
      </w:r>
      <w:proofErr w:type="gramEnd"/>
      <w:r>
        <w:t xml:space="preserve"> its subsidiary undertakings. </w:t>
      </w:r>
    </w:p>
    <w:p w14:paraId="75A8F6A0" w14:textId="77777777" w:rsidR="0062640D" w:rsidRDefault="0062640D"/>
    <w:p w14:paraId="6E0A4BD0" w14:textId="77777777" w:rsidR="0062640D" w:rsidRDefault="00C12A80">
      <w:pPr>
        <w:pStyle w:val="Heading-3"/>
      </w:pPr>
      <w:r>
        <w:t>Business combinations</w:t>
      </w:r>
    </w:p>
    <w:p w14:paraId="1C0B55CA" w14:textId="77777777" w:rsidR="0062640D" w:rsidRDefault="00C12A80">
      <w:r>
        <w:t xml:space="preserve">The Group accounts for business combinations using the acquisition method when control is transferred to the Group. </w:t>
      </w:r>
    </w:p>
    <w:p w14:paraId="79E6D728" w14:textId="77777777" w:rsidR="0062640D" w:rsidRDefault="0062640D"/>
    <w:p w14:paraId="27D92340" w14:textId="77777777" w:rsidR="0062640D" w:rsidRDefault="00C12A80">
      <w:r>
        <w:t>The consideration transferred in the acquisition is generally measured at fair value, as are the identifiable net assets acquired. Any goodwill that arises is tested at least annually for impairment. Any gain on a bargain purchase is recognised in profit or loss immediately. Transaction costs are expensed as incurred, except if related to the issue of debt or equity securities.</w:t>
      </w:r>
    </w:p>
    <w:p w14:paraId="502A228B" w14:textId="77777777" w:rsidR="0062640D" w:rsidRDefault="0062640D"/>
    <w:p w14:paraId="7B7C1598" w14:textId="77777777" w:rsidR="0062640D" w:rsidRDefault="00C12A80">
      <w:r>
        <w:t>When an acquisition does not represent a business, it is accounted for as a purchase of a group of assets and liabilities, not as a business combination. The cost of the acquisition is allocated to the assets and liabilities acquired based on their relative fair values, and no goodwill is recognised. Where the Group solely purchases the freehold interest in a property, this is accounted for as an asset purchase and not as a business combination on the basis that the asset(s) purchased do not constitute a business. Asset purchases are accounted for as additions to property, plant and equipment.</w:t>
      </w:r>
    </w:p>
    <w:p w14:paraId="62556606" w14:textId="77777777" w:rsidR="0062640D" w:rsidRDefault="0062640D"/>
    <w:p w14:paraId="0137CD20" w14:textId="77777777" w:rsidR="0062640D" w:rsidRDefault="00C12A80">
      <w:pPr>
        <w:pStyle w:val="Heading-3"/>
      </w:pPr>
      <w:r>
        <w:t>Subsidiaries</w:t>
      </w:r>
    </w:p>
    <w:p w14:paraId="54C4E90A" w14:textId="77777777" w:rsidR="0062640D" w:rsidRDefault="00C12A80">
      <w:r>
        <w:t xml:space="preserve">Subsidiaries are entities controlled by the Group. The Group controls an entity when it is exposed to, or has rights to, variable returns from its involvement with the entity and </w:t>
      </w:r>
      <w:proofErr w:type="gramStart"/>
      <w:r>
        <w:t>has the ability to</w:t>
      </w:r>
      <w:proofErr w:type="gramEnd"/>
      <w:r>
        <w:t xml:space="preserve"> affect those returns through its power over the entity. The financial statements of subsidiaries are included in the consolidated financial statements from the date that control commences until the date that control ceases. Intra-group balances and transactions, and any unrealised income and expenses arising from intra-group transactions, are eliminated.</w:t>
      </w:r>
    </w:p>
    <w:p w14:paraId="212D091D" w14:textId="77777777" w:rsidR="0062640D" w:rsidRDefault="0062640D"/>
    <w:p w14:paraId="57C372BA" w14:textId="77777777" w:rsidR="0062640D" w:rsidRDefault="00C12A80">
      <w:pPr>
        <w:pStyle w:val="Heading-2"/>
      </w:pPr>
      <w:r>
        <w:t xml:space="preserve">(v) Revenue recognition </w:t>
      </w:r>
    </w:p>
    <w:p w14:paraId="00153792" w14:textId="77777777" w:rsidR="0062640D" w:rsidRDefault="00C12A80">
      <w:r>
        <w:t>Revenue represents sales (excluding VAT) of goods and services net of discounts provided in the normal course of business and is recognised when services have been rendered.</w:t>
      </w:r>
    </w:p>
    <w:p w14:paraId="49018207" w14:textId="77777777" w:rsidR="0062640D" w:rsidRDefault="0062640D"/>
    <w:p w14:paraId="59E623E7" w14:textId="77777777" w:rsidR="0062640D" w:rsidRDefault="00C12A80">
      <w:r>
        <w:t xml:space="preserve">Revenue is derived from hotel operations and includes the rental of rooms, food and beverage sales, car park revenue and leisure centre membership in leased and owned hotels operated by the Group. Revenue is recognised when rooms are </w:t>
      </w:r>
      <w:proofErr w:type="gramStart"/>
      <w:r>
        <w:t>occupied</w:t>
      </w:r>
      <w:proofErr w:type="gramEnd"/>
      <w:r>
        <w:t xml:space="preserve"> and food and beverages are sold. Car park revenue is recognised when the service is provided. Leisure centre membership revenue is recognised over the life of the membership. </w:t>
      </w:r>
    </w:p>
    <w:p w14:paraId="6CFC48D4" w14:textId="77777777" w:rsidR="0062640D" w:rsidRDefault="0062640D"/>
    <w:p w14:paraId="2582ED25" w14:textId="77777777" w:rsidR="0062640D" w:rsidRDefault="00C12A80">
      <w:r>
        <w:t>Management fees are earned from hotels managed by the Group. Management fees are normally a percentage of hotel revenue and/or profit and are recognised when earned and recoverable under the terms of the management agreement. Management fee income is included within other income.</w:t>
      </w:r>
    </w:p>
    <w:p w14:paraId="2AD06F26" w14:textId="77777777" w:rsidR="0062640D" w:rsidRDefault="0062640D"/>
    <w:p w14:paraId="1944BBF4" w14:textId="77777777" w:rsidR="0062640D" w:rsidRDefault="00C12A80">
      <w:r>
        <w:t>Rental income from investment property is recognised on a straight-line basis over the term of the lease and is included within other income.</w:t>
      </w:r>
    </w:p>
    <w:p w14:paraId="7CEB4D7D" w14:textId="77777777" w:rsidR="0062640D" w:rsidRDefault="0062640D"/>
    <w:p w14:paraId="6A08AA0C" w14:textId="77777777" w:rsidR="0062640D" w:rsidRDefault="00C12A80">
      <w:pPr>
        <w:pStyle w:val="Heading-2"/>
      </w:pPr>
      <w:r>
        <w:t xml:space="preserve">(vi) Sales discounts and allowances </w:t>
      </w:r>
    </w:p>
    <w:p w14:paraId="69706EF1" w14:textId="77777777" w:rsidR="0062640D" w:rsidRDefault="00C12A80">
      <w:r>
        <w:t>The Group recognises revenue on a gross revenue basis and makes various deductions to arrive at net revenue as reported in profit or loss. These adjustments are referred to as sales discounts and allowances.</w:t>
      </w:r>
    </w:p>
    <w:p w14:paraId="58413320" w14:textId="77777777" w:rsidR="0062640D" w:rsidRDefault="0062640D"/>
    <w:p w14:paraId="585341AB" w14:textId="6BBBF22C" w:rsidR="0062640D" w:rsidRDefault="00C12A80">
      <w:pPr>
        <w:pStyle w:val="Heading-2"/>
      </w:pPr>
      <w:r>
        <w:t>(</w:t>
      </w:r>
      <w:r w:rsidR="002435CC">
        <w:t>vii</w:t>
      </w:r>
      <w:r>
        <w:t xml:space="preserve">) Leases </w:t>
      </w:r>
    </w:p>
    <w:p w14:paraId="0D0B1E4E" w14:textId="77777777" w:rsidR="0062640D" w:rsidRDefault="00C12A80">
      <w:r>
        <w:t xml:space="preserve">At inception of a lease contract, the Group assesses whether a contract is, or contains, a lease. If the contract conveys the right to control the use of an identified asset for </w:t>
      </w:r>
      <w:proofErr w:type="gramStart"/>
      <w:r>
        <w:t>a period of time</w:t>
      </w:r>
      <w:proofErr w:type="gramEnd"/>
      <w:r>
        <w:t xml:space="preserve"> in exchange for consideration, it is recognised as a lease. </w:t>
      </w:r>
    </w:p>
    <w:p w14:paraId="7E96605D" w14:textId="77777777" w:rsidR="0062640D" w:rsidRDefault="0062640D"/>
    <w:p w14:paraId="69FBBB4E" w14:textId="77777777" w:rsidR="0062640D" w:rsidRDefault="00C12A80">
      <w:r>
        <w:t xml:space="preserve">To assess the right to control, the Group assesses whether: </w:t>
      </w:r>
    </w:p>
    <w:p w14:paraId="794D9259" w14:textId="77777777" w:rsidR="0062640D" w:rsidRDefault="00C12A80">
      <w:pPr>
        <w:pStyle w:val="List-Unordered"/>
      </w:pPr>
      <w:r>
        <w:t xml:space="preserve">the contract involves the use of an identified asset; </w:t>
      </w:r>
    </w:p>
    <w:p w14:paraId="2FF45991" w14:textId="77777777" w:rsidR="0062640D" w:rsidRDefault="00C12A80">
      <w:pPr>
        <w:pStyle w:val="List-Unordered"/>
      </w:pPr>
      <w:r>
        <w:t xml:space="preserve">the Group has the right to obtain substantially </w:t>
      </w:r>
      <w:proofErr w:type="gramStart"/>
      <w:r>
        <w:t>all of</w:t>
      </w:r>
      <w:proofErr w:type="gramEnd"/>
      <w:r>
        <w:t xml:space="preserve"> the economic benefits from the use of the asset; and </w:t>
      </w:r>
    </w:p>
    <w:p w14:paraId="4C1CE578" w14:textId="77777777" w:rsidR="0062640D" w:rsidRDefault="00C12A80">
      <w:pPr>
        <w:pStyle w:val="List-Unordered"/>
      </w:pPr>
      <w:r>
        <w:t>the Group has the right to direct the use of the asset.</w:t>
      </w:r>
    </w:p>
    <w:p w14:paraId="0B9C059D" w14:textId="77777777" w:rsidR="0062640D" w:rsidRDefault="0062640D"/>
    <w:p w14:paraId="7B90036A" w14:textId="77777777" w:rsidR="0062640D" w:rsidRDefault="00C12A80">
      <w:r>
        <w:t xml:space="preserve">A lease liability is initially measured at the present value of the lease payments that are not paid at the commencement date, discounted using the interest rate implicit in the lease or, if that rate cannot be readily determined, the Group’s incremental borrowing rate. The Group uses its incremental borrowing rate as the discount rate, which is defined as the estimated rate of interest that the lessee would have to pay to borrow, over a similar term and with a similar security, the funds necessary to obtain an asset of a similar value to the right-of-use asset in a similar economic environment. The incremental borrowing rate is calculated for each individual lease. </w:t>
      </w:r>
    </w:p>
    <w:p w14:paraId="5EE0003A" w14:textId="77777777" w:rsidR="0062640D" w:rsidRDefault="0062640D"/>
    <w:p w14:paraId="5275A189" w14:textId="77777777" w:rsidR="0062640D" w:rsidRDefault="00C12A80">
      <w:r>
        <w:t>The estimated incremental borrowing rate for each leased asset is derived from country-specific risk-free interest rates over the relevant lease term, adjusted for the finance margin attainable by each lessee and asset-specific adjustments designed to reflect the underlying asset’s location and condition.</w:t>
      </w:r>
    </w:p>
    <w:p w14:paraId="05C2F744" w14:textId="77777777" w:rsidR="0062640D" w:rsidRDefault="0062640D"/>
    <w:p w14:paraId="23948DCC" w14:textId="77777777" w:rsidR="0062640D" w:rsidRDefault="00C12A80">
      <w:r>
        <w:t xml:space="preserve">Lease payments included in the measurement of the lease liability comprise the following: </w:t>
      </w:r>
    </w:p>
    <w:p w14:paraId="15109764" w14:textId="77777777" w:rsidR="0062640D" w:rsidRDefault="00C12A80">
      <w:pPr>
        <w:pStyle w:val="List-Unordered"/>
      </w:pPr>
      <w:r>
        <w:t xml:space="preserve">fixed payments (including in-substance fixed payments) less any lease incentives receivable; </w:t>
      </w:r>
    </w:p>
    <w:p w14:paraId="388C875C" w14:textId="77777777" w:rsidR="0062640D" w:rsidRDefault="00C12A80">
      <w:pPr>
        <w:pStyle w:val="List-Unordered"/>
      </w:pPr>
      <w:r>
        <w:t xml:space="preserve">variable lease costs that depend on an index or a rate, initially measured using the index or rate as at the commencement date; </w:t>
      </w:r>
    </w:p>
    <w:p w14:paraId="02319876" w14:textId="77777777" w:rsidR="0062640D" w:rsidRDefault="00C12A80">
      <w:pPr>
        <w:pStyle w:val="List-Unordered"/>
      </w:pPr>
      <w:r>
        <w:t xml:space="preserve">amounts expected to be payable under a residual value guarantee; </w:t>
      </w:r>
    </w:p>
    <w:p w14:paraId="43B297A5" w14:textId="77777777" w:rsidR="0062640D" w:rsidRDefault="00C12A80">
      <w:pPr>
        <w:pStyle w:val="List-Unordered"/>
      </w:pPr>
      <w:r>
        <w:t xml:space="preserve">the exercise price under a purchase option that the Group is reasonably certain to exercise; and </w:t>
      </w:r>
    </w:p>
    <w:p w14:paraId="3570784D" w14:textId="77777777" w:rsidR="0062640D" w:rsidRDefault="00C12A80">
      <w:pPr>
        <w:pStyle w:val="List-Unordered"/>
      </w:pPr>
      <w:r>
        <w:t>penalties for early termination of a lease unless the Group is reasonably certain not to terminate early.</w:t>
      </w:r>
    </w:p>
    <w:p w14:paraId="36C3E6E8" w14:textId="77777777" w:rsidR="0062640D" w:rsidRDefault="0062640D"/>
    <w:p w14:paraId="147E3052" w14:textId="77777777" w:rsidR="0062640D" w:rsidRDefault="00C12A80">
      <w:r>
        <w:t xml:space="preserve">Variable lease costs linked to future performance or use of an underlying asset are excluded from the measurement of the lease liability and the right-of-use asset. The related payments are recognised as an expense in the period in which the event or condition that triggers those payments occurs and are included in administrative expenses in profit or loss. </w:t>
      </w:r>
    </w:p>
    <w:p w14:paraId="48106BB1" w14:textId="77777777" w:rsidR="0062640D" w:rsidRDefault="0062640D"/>
    <w:p w14:paraId="39003E17" w14:textId="77777777" w:rsidR="0062640D" w:rsidRDefault="00C12A80">
      <w:r>
        <w:t xml:space="preserve">The lease liability is subsequently measured by increasing the carrying amount to reflect interest on the lease liability (using the effective interest method) and by reducing the carrying amount to reflect lease payments. </w:t>
      </w:r>
    </w:p>
    <w:p w14:paraId="595ADB8F" w14:textId="77777777" w:rsidR="0062640D" w:rsidRDefault="0062640D"/>
    <w:p w14:paraId="0DA5E9AC" w14:textId="77777777" w:rsidR="0062640D" w:rsidRDefault="00C12A80">
      <w:r>
        <w:t>The Group remeasures the lease liability where lease payments change due to changes in an index or rate, changes in expected lease term or where a lease contract is modified. When the lease liability is remeasured, a corresponding adjustment is made to the carrying amount of the right-of-use asset or is recorded in profit or loss if the carrying amount of the right-of-use asset has been reduced to zero.</w:t>
      </w:r>
    </w:p>
    <w:p w14:paraId="31023477" w14:textId="77777777" w:rsidR="0062640D" w:rsidRDefault="0062640D"/>
    <w:p w14:paraId="3CA38FEC" w14:textId="77777777" w:rsidR="0062640D" w:rsidRDefault="00C12A80">
      <w:r>
        <w:t xml:space="preserve">The right-of-use asset is initially measured at cost, which comprises the initial amount of the lease liability adjusted for any lease payments made at or before the commencement date, plus any initial direct costs incurred and an estimate of any costs to dismantle and remove the underlying asset or to restore the underlying asset or the site on which it is located, less any lease incentives received. </w:t>
      </w:r>
    </w:p>
    <w:p w14:paraId="69D530A4" w14:textId="77777777" w:rsidR="0062640D" w:rsidRDefault="0062640D"/>
    <w:p w14:paraId="32B7F09A" w14:textId="77777777" w:rsidR="0062640D" w:rsidRDefault="00C12A80">
      <w:r>
        <w:t xml:space="preserve">The right-of-use asset is subsequently depreciated using the straight-line method from the commencement date to the earlier of the end of the useful life of the right-of-use asset, or a component thereof, or the end of the lease term. Right-of-use assets are reviewed on an annual basis or whenever events or changes in circumstances indicate that the carrying amount may not be recoverable. The Group applies IAS 36 </w:t>
      </w:r>
      <w:r>
        <w:rPr>
          <w:rStyle w:val="Italic"/>
        </w:rPr>
        <w:t>Impairment of Assets</w:t>
      </w:r>
      <w:r>
        <w:t xml:space="preserve"> to determine whether a cash-generating unit with a right-of-use asset is impaired and accounts for any identified impairments through profit or loss. The right-of-use asset is periodically reduced by impairment losses, if any, and adjusted for certain remeasurements of the lease liability. The Group also applies IAS 36 </w:t>
      </w:r>
      <w:r>
        <w:rPr>
          <w:rStyle w:val="Italic"/>
        </w:rPr>
        <w:t>Impairment of Assets</w:t>
      </w:r>
      <w:r>
        <w:t xml:space="preserve"> to any cash-generating units, which have right-of-use assets which were previously impaired, to assess whether previous impairments should be reversed. A reversal of a previous impairment charge is accounted for through profit or loss and only increases the carrying amount of the right-of-use asset to a maximum of what it would have been if the original impairment charges had not been recognised in the first place.</w:t>
      </w:r>
    </w:p>
    <w:p w14:paraId="48415A99" w14:textId="77777777" w:rsidR="0062640D" w:rsidRDefault="0062640D"/>
    <w:p w14:paraId="0E3D7E85" w14:textId="77777777" w:rsidR="0062640D" w:rsidRDefault="00C12A80">
      <w:r>
        <w:t>The Group has elected not to recognise right-of-use assets and lease liabilities for short-term leases of fixtures, fittings and equipment that have a lease term of 12 months or less and leases of low-value assets. Assets are considered low value if the value of the asset when new is less than €5,000. The Group recognises the lease payments associated with these leases as an expense on a straight-line basis over the lease term.</w:t>
      </w:r>
    </w:p>
    <w:p w14:paraId="682B6D1C" w14:textId="77777777" w:rsidR="0062640D" w:rsidRDefault="0062640D"/>
    <w:p w14:paraId="6505BF3C" w14:textId="7CB6A492" w:rsidR="0062640D" w:rsidRDefault="00C12A80">
      <w:pPr>
        <w:pStyle w:val="Heading-2"/>
      </w:pPr>
      <w:r>
        <w:t>(</w:t>
      </w:r>
      <w:r w:rsidR="002435CC">
        <w:t>viii</w:t>
      </w:r>
      <w:r>
        <w:t>) Share-based payments</w:t>
      </w:r>
    </w:p>
    <w:p w14:paraId="28864880" w14:textId="77777777" w:rsidR="0062640D" w:rsidRDefault="00C12A80">
      <w:r>
        <w:t xml:space="preserve">The grant date fair value of equity-settled share-based payment awards and options granted to employees is recognised as an expense, with a corresponding increase in equity, over the vesting period of the awards and options. </w:t>
      </w:r>
    </w:p>
    <w:p w14:paraId="429818F6" w14:textId="77777777" w:rsidR="0062640D" w:rsidRDefault="0062640D"/>
    <w:p w14:paraId="600273A0" w14:textId="77777777" w:rsidR="0062640D" w:rsidRDefault="00C12A80">
      <w:r>
        <w:t>This incorporates the effect of market-based conditions, where applicable, and the estimated fair value of equity-settled share-based payment awards issued with non-market performance conditions.</w:t>
      </w:r>
    </w:p>
    <w:p w14:paraId="591AAE4B" w14:textId="77777777" w:rsidR="0062640D" w:rsidRDefault="0062640D"/>
    <w:p w14:paraId="6F9D6609" w14:textId="77777777" w:rsidR="0062640D" w:rsidRDefault="00C12A80">
      <w:r>
        <w:t>The amount recognised as an expense is adjusted to reflect the number of awards and options for which the related service and any non-market performance conditions are expected to be met, such that the amount ultimately recognised is based on the number of awards that met the related service and non-market performance conditions at the vesting date. The amount recognised as an expense is not adjusted for market conditions not being met.</w:t>
      </w:r>
    </w:p>
    <w:p w14:paraId="04604B9A" w14:textId="77777777" w:rsidR="0062640D" w:rsidRDefault="0062640D"/>
    <w:p w14:paraId="7D410ECF" w14:textId="77777777" w:rsidR="0062640D" w:rsidRDefault="00C12A80">
      <w:r>
        <w:t xml:space="preserve">On vesting of the equity-settled share-based payment awards and options, the cumulative expense recognised in the share-based payment reserve is transferred directly to retained earnings. An increase in ordinary share capital and share premium, in the case where the price paid per share is higher than the cost per share, is recognised reflecting the issuance of shares </w:t>
      </w:r>
      <w:proofErr w:type="gramStart"/>
      <w:r>
        <w:t>as a result of</w:t>
      </w:r>
      <w:proofErr w:type="gramEnd"/>
      <w:r>
        <w:t xml:space="preserve"> the vesting of the awards and options.</w:t>
      </w:r>
    </w:p>
    <w:p w14:paraId="43E2206C" w14:textId="77777777" w:rsidR="0062640D" w:rsidRDefault="0062640D"/>
    <w:p w14:paraId="5502A76D" w14:textId="77777777" w:rsidR="0062640D" w:rsidRDefault="00C12A80">
      <w:r>
        <w:t>The dilutive effect of outstanding awards is reflected as additional share dilution in calculating diluted earnings per share.</w:t>
      </w:r>
    </w:p>
    <w:p w14:paraId="61DDD26B" w14:textId="77777777" w:rsidR="0062640D" w:rsidRDefault="0062640D"/>
    <w:p w14:paraId="15DE3A33" w14:textId="4AAAA8B3" w:rsidR="0062640D" w:rsidRDefault="00C12A80">
      <w:pPr>
        <w:pStyle w:val="Heading-2"/>
      </w:pPr>
      <w:r>
        <w:t>(</w:t>
      </w:r>
      <w:r w:rsidR="00B24E12">
        <w:t>ix</w:t>
      </w:r>
      <w:r>
        <w:t xml:space="preserve">) Tax </w:t>
      </w:r>
    </w:p>
    <w:p w14:paraId="096B7C84" w14:textId="77777777" w:rsidR="0062640D" w:rsidRDefault="00C12A80">
      <w:r>
        <w:t xml:space="preserve">Tax charge or credit comprises current and deferred tax. Tax charge or credit is recognised in profit or loss except to the extent that it relates to a business </w:t>
      </w:r>
      <w:proofErr w:type="gramStart"/>
      <w:r>
        <w:t>combination</w:t>
      </w:r>
      <w:proofErr w:type="gramEnd"/>
      <w:r>
        <w:t xml:space="preserve"> or items recognised directly in other comprehensive income or equity.</w:t>
      </w:r>
    </w:p>
    <w:p w14:paraId="7B947A17" w14:textId="77777777" w:rsidR="0062640D" w:rsidRDefault="0062640D"/>
    <w:p w14:paraId="0A1CAFA8" w14:textId="77777777" w:rsidR="0062640D" w:rsidRDefault="00C12A80">
      <w:r>
        <w:t>Current tax is the expected tax payable or receivable on the taxable income or loss for the year using tax rates enacted or substantively enacted at the reporting date and any adjustment to tax payable in respect of previous years.</w:t>
      </w:r>
    </w:p>
    <w:p w14:paraId="098B77B5" w14:textId="77777777" w:rsidR="0062640D" w:rsidRDefault="0062640D"/>
    <w:p w14:paraId="467C0CA8" w14:textId="77777777" w:rsidR="0062640D" w:rsidRDefault="00C12A80">
      <w:r>
        <w:t>Deferred tax is recognised in respect of temporary differences between the carrying amounts of assets and liabilities for financial reporting purposes and amounts used for taxation purposes except for the initial recognition of goodwill and other assets and liabilities that do not affect accounting profit or taxable profit at the date of recognition and at the time of the transaction, do not give rise to taxable and deductible temporary differences.</w:t>
      </w:r>
    </w:p>
    <w:p w14:paraId="1FFE61D3" w14:textId="77777777" w:rsidR="0062640D" w:rsidRDefault="0062640D"/>
    <w:p w14:paraId="7CFB987E" w14:textId="77777777" w:rsidR="0062640D" w:rsidRDefault="00C12A80">
      <w:r>
        <w:t>Deferred tax is measured at the tax rates that are expected to be applied to the temporary differences when they reverse, based on the laws that have been enacted or substantively enacted by the reporting date.</w:t>
      </w:r>
    </w:p>
    <w:p w14:paraId="5B16067E" w14:textId="77777777" w:rsidR="0062640D" w:rsidRDefault="0062640D"/>
    <w:p w14:paraId="7703FF30" w14:textId="77777777" w:rsidR="0062640D" w:rsidRDefault="00C12A80">
      <w:r>
        <w:t xml:space="preserve">Deferred tax assets and liabilities are offset if there is a legally enforceable right to offset current tax liabilities and assets, and they relate to income taxes levied by the same tax authority on the same taxable entity, or on different entities, but they intend to settle current tax liabilities and assets on a net </w:t>
      </w:r>
      <w:proofErr w:type="gramStart"/>
      <w:r>
        <w:t>basis</w:t>
      </w:r>
      <w:proofErr w:type="gramEnd"/>
      <w:r>
        <w:t xml:space="preserve"> or their tax assets and liabilities will be realised simultaneously.</w:t>
      </w:r>
    </w:p>
    <w:p w14:paraId="6F61D875" w14:textId="77777777" w:rsidR="0062640D" w:rsidRDefault="0062640D"/>
    <w:p w14:paraId="17BA02A8" w14:textId="77777777" w:rsidR="0062640D" w:rsidRDefault="00C12A80">
      <w:r>
        <w:t>Deferred tax liabilities are recognised where the carrying value of land and buildings for financial reporting purposes is greater than their tax cost base.</w:t>
      </w:r>
    </w:p>
    <w:p w14:paraId="5604AE23" w14:textId="77777777" w:rsidR="0062640D" w:rsidRDefault="0062640D"/>
    <w:p w14:paraId="0C995D05" w14:textId="77777777" w:rsidR="0062640D" w:rsidRDefault="00C12A80">
      <w:r>
        <w:t>Deferred tax assets are recognised for unused tax losses, unused tax credits and deductible temporary differences to the extent that it is probable future taxable profits will be available against which the temporary difference can be utilised.</w:t>
      </w:r>
    </w:p>
    <w:p w14:paraId="7292364C" w14:textId="77777777" w:rsidR="0062640D" w:rsidRDefault="0062640D"/>
    <w:p w14:paraId="6E39E543" w14:textId="77777777" w:rsidR="0062640D" w:rsidRDefault="00C12A80">
      <w:r>
        <w:t>Deferred tax assets are reviewed at each reporting date and are reduced to the extent that it is no longer probable that the related tax benefit will be realised. Such reductions are reversed when the probability of future taxable profits improves.</w:t>
      </w:r>
    </w:p>
    <w:p w14:paraId="3E1D2B82" w14:textId="77777777" w:rsidR="0062640D" w:rsidRDefault="0062640D"/>
    <w:p w14:paraId="001AF0EC" w14:textId="4BAA68EC" w:rsidR="0062640D" w:rsidRDefault="00C12A80">
      <w:pPr>
        <w:pStyle w:val="Heading-2"/>
      </w:pPr>
      <w:r>
        <w:t>(x) Earnings per share (‘EPS’)</w:t>
      </w:r>
    </w:p>
    <w:p w14:paraId="24994748" w14:textId="77777777" w:rsidR="0062640D" w:rsidRDefault="00C12A80">
      <w:r>
        <w:t>Basic earnings per share is calculated based on the profit or loss for the year attributable to owners of the Company and the basic weighted average number of shares outstanding. Diluted earnings per share is calculated based on the profit or loss for the year attributable to owners of the Company and the diluted weighted average number of shares and potential shares outstanding.</w:t>
      </w:r>
    </w:p>
    <w:p w14:paraId="27505BD1" w14:textId="77777777" w:rsidR="0062640D" w:rsidRDefault="0062640D"/>
    <w:p w14:paraId="50DF2DCD" w14:textId="77777777" w:rsidR="0062640D" w:rsidRDefault="00C12A80">
      <w:r>
        <w:t xml:space="preserve">Shares are only treated as dilutive if their dilution results in </w:t>
      </w:r>
      <w:proofErr w:type="gramStart"/>
      <w:r>
        <w:t>a decreased earnings</w:t>
      </w:r>
      <w:proofErr w:type="gramEnd"/>
      <w:r>
        <w:t xml:space="preserve"> per share or increased loss per share. </w:t>
      </w:r>
    </w:p>
    <w:p w14:paraId="1CECF940" w14:textId="77777777" w:rsidR="0062640D" w:rsidRDefault="0062640D"/>
    <w:p w14:paraId="4A22D5AE" w14:textId="77777777" w:rsidR="0062640D" w:rsidRDefault="00C12A80">
      <w:r>
        <w:t>Dilutive effects arise from share-based payments that are settled in shares. Conditional share awards to employees have a dilutive effect when the average share price during the period exceeds the exercise price of the awards and the market or non-market conditions of the awards are met, as if the current period end were the end of the vesting period. When calculating the dilutive effect, the exercise price is adjusted by the value of future services that have yet to be received related to the awards.</w:t>
      </w:r>
    </w:p>
    <w:p w14:paraId="356C4E5A" w14:textId="77777777" w:rsidR="0062640D" w:rsidRDefault="0062640D"/>
    <w:p w14:paraId="170699E1" w14:textId="5251CF4D" w:rsidR="0062640D" w:rsidRDefault="00C12A80">
      <w:pPr>
        <w:pStyle w:val="Heading-2"/>
      </w:pPr>
      <w:r>
        <w:t>(xi) Property, plant and equipment</w:t>
      </w:r>
    </w:p>
    <w:p w14:paraId="734A15A4" w14:textId="77777777" w:rsidR="0062640D" w:rsidRDefault="00C12A80">
      <w:r>
        <w:t xml:space="preserve">Land and buildings are initially stated at cost, including directly attributable transaction costs, (or fair value when acquired through business combinations) and subsequently at fair value. </w:t>
      </w:r>
    </w:p>
    <w:p w14:paraId="7C2D2AA9" w14:textId="77777777" w:rsidR="0062640D" w:rsidRDefault="0062640D"/>
    <w:p w14:paraId="685315D6" w14:textId="05E0892C" w:rsidR="00AF05AF" w:rsidRDefault="00C12A80">
      <w:r>
        <w:t xml:space="preserve">Assets under construction include sites where new hotels are currently being developed and significant development projects at hotels which are currently operational. These sites and the capital investment made are recorded at cost. Borrowing costs incurred in the construction of major assets or development projects which take a substantial </w:t>
      </w:r>
      <w:proofErr w:type="gramStart"/>
      <w:r>
        <w:t>period of time</w:t>
      </w:r>
      <w:proofErr w:type="gramEnd"/>
      <w:r>
        <w:t xml:space="preserve"> to complete are capitalised in the financial period in which they are incurred.</w:t>
      </w:r>
      <w:r w:rsidR="00243AB8">
        <w:t xml:space="preserve"> C</w:t>
      </w:r>
      <w:r w:rsidR="00AF05AF">
        <w:t>apitalisation of interest is suspended</w:t>
      </w:r>
      <w:r w:rsidR="008E60DC">
        <w:t xml:space="preserve"> when an active development is delayed over an extended period</w:t>
      </w:r>
      <w:r w:rsidR="0087319D">
        <w:t xml:space="preserve"> </w:t>
      </w:r>
      <w:r w:rsidR="0087319D" w:rsidRPr="0087319D">
        <w:t>and where costs are not deemed recoverable</w:t>
      </w:r>
      <w:r w:rsidR="008E60DC">
        <w:t>.</w:t>
      </w:r>
      <w:r w:rsidR="00AF05AF">
        <w:t xml:space="preserve"> </w:t>
      </w:r>
      <w:r>
        <w:t>Once construction is complete and the hotel is operating, the assets will be transferred to land and buildings and fixtures, fittings and equipment at cost. The land and buildings element will subsequently be measured at fair value. Depreciation will commence when the assets are available for use.</w:t>
      </w:r>
    </w:p>
    <w:p w14:paraId="5760CEBD" w14:textId="77777777" w:rsidR="0062640D" w:rsidRDefault="0062640D"/>
    <w:p w14:paraId="37E81814" w14:textId="77777777" w:rsidR="0062640D" w:rsidRDefault="00C12A80">
      <w:r>
        <w:t xml:space="preserve">Fixtures, fittings and equipment are stated at cost, less accumulated depreciation and any impairment provision. </w:t>
      </w:r>
    </w:p>
    <w:p w14:paraId="5DF094ED" w14:textId="77777777" w:rsidR="0062640D" w:rsidRDefault="0062640D"/>
    <w:p w14:paraId="718E23E2" w14:textId="77777777" w:rsidR="0062640D" w:rsidRDefault="00C12A80">
      <w:r>
        <w:t xml:space="preserve">Cost includes expenditure that is directly attributable to the acquisition of property, plant and equipment unless it is acquired as part of a business combination under IFRS 3 </w:t>
      </w:r>
      <w:r>
        <w:rPr>
          <w:rStyle w:val="Italic"/>
        </w:rPr>
        <w:t>Business Combinations</w:t>
      </w:r>
      <w:r>
        <w:t>, where the deemed cost is its acquisition date fair value. In the application of the Group’s accounting policy, judgement is exercised by management in the determination of fair value of land and buildings at each reporting date, residual values and useful lives.</w:t>
      </w:r>
    </w:p>
    <w:p w14:paraId="7503827E" w14:textId="77777777" w:rsidR="0062640D" w:rsidRDefault="0062640D"/>
    <w:p w14:paraId="22B22378" w14:textId="77777777" w:rsidR="0062640D" w:rsidRDefault="00C12A80">
      <w:r>
        <w:t>Depreciation is charged through profit or loss on the cost or valuation less residual value on a straight-line basis over the estimated useful lives of the assets which are as follows:</w:t>
      </w:r>
    </w:p>
    <w:p w14:paraId="27078AA3" w14:textId="77777777" w:rsidR="0062640D" w:rsidRDefault="0062640D"/>
    <w:tbl>
      <w:tblPr>
        <w:tblStyle w:val="BasicTable"/>
        <w:tblW w:w="0" w:type="auto"/>
        <w:tblLayout w:type="fixed"/>
        <w:tblCellMar>
          <w:top w:w="80" w:type="dxa"/>
          <w:left w:w="80" w:type="dxa"/>
          <w:bottom w:w="80" w:type="dxa"/>
          <w:right w:w="80" w:type="dxa"/>
        </w:tblCellMar>
        <w:tblLook w:val="0000" w:firstRow="0" w:lastRow="0" w:firstColumn="0" w:lastColumn="0" w:noHBand="0" w:noVBand="0"/>
      </w:tblPr>
      <w:tblGrid>
        <w:gridCol w:w="3440"/>
        <w:gridCol w:w="6651"/>
      </w:tblGrid>
      <w:tr w:rsidR="0062640D" w14:paraId="235F2CE7" w14:textId="77777777">
        <w:tc>
          <w:tcPr>
            <w:tcW w:w="3440" w:type="dxa"/>
            <w:tcBorders>
              <w:top w:val="single" w:sz="2" w:space="0" w:color="FF777C"/>
              <w:left w:val="nil"/>
              <w:bottom w:val="single" w:sz="2" w:space="0" w:color="FF777C"/>
              <w:right w:val="nil"/>
            </w:tcBorders>
            <w:tcMar>
              <w:top w:w="80" w:type="dxa"/>
              <w:left w:w="0" w:type="dxa"/>
              <w:bottom w:w="80" w:type="dxa"/>
              <w:right w:w="80" w:type="dxa"/>
            </w:tcMar>
          </w:tcPr>
          <w:p w14:paraId="675E5319" w14:textId="77777777" w:rsidR="0062640D" w:rsidRDefault="00C12A80">
            <w:r>
              <w:t>Buildings</w:t>
            </w:r>
          </w:p>
        </w:tc>
        <w:tc>
          <w:tcPr>
            <w:tcW w:w="6651" w:type="dxa"/>
            <w:tcBorders>
              <w:top w:val="single" w:sz="2" w:space="0" w:color="FF777C"/>
              <w:left w:val="nil"/>
              <w:bottom w:val="single" w:sz="2" w:space="0" w:color="FF777C"/>
              <w:right w:val="nil"/>
            </w:tcBorders>
          </w:tcPr>
          <w:p w14:paraId="28A6D5A7" w14:textId="77777777" w:rsidR="0062640D" w:rsidRDefault="00C12A80">
            <w:r>
              <w:t>50 years</w:t>
            </w:r>
          </w:p>
        </w:tc>
      </w:tr>
      <w:tr w:rsidR="0062640D" w14:paraId="7D62EB60" w14:textId="77777777">
        <w:tc>
          <w:tcPr>
            <w:tcW w:w="3440" w:type="dxa"/>
            <w:tcBorders>
              <w:top w:val="single" w:sz="2" w:space="0" w:color="FF777C"/>
              <w:left w:val="nil"/>
              <w:bottom w:val="single" w:sz="2" w:space="0" w:color="FF777C"/>
              <w:right w:val="nil"/>
            </w:tcBorders>
            <w:tcMar>
              <w:top w:w="80" w:type="dxa"/>
              <w:left w:w="0" w:type="dxa"/>
              <w:bottom w:w="80" w:type="dxa"/>
              <w:right w:w="80" w:type="dxa"/>
            </w:tcMar>
          </w:tcPr>
          <w:p w14:paraId="154A6D77" w14:textId="77777777" w:rsidR="0062640D" w:rsidRDefault="00C12A80">
            <w:r>
              <w:t>Fixtures, fittings and equipment</w:t>
            </w:r>
          </w:p>
        </w:tc>
        <w:tc>
          <w:tcPr>
            <w:tcW w:w="6651" w:type="dxa"/>
            <w:tcBorders>
              <w:top w:val="single" w:sz="2" w:space="0" w:color="FF777C"/>
              <w:left w:val="nil"/>
              <w:bottom w:val="single" w:sz="2" w:space="0" w:color="FF777C"/>
              <w:right w:val="nil"/>
            </w:tcBorders>
          </w:tcPr>
          <w:p w14:paraId="63563603" w14:textId="77777777" w:rsidR="0062640D" w:rsidRDefault="00C12A80">
            <w:r>
              <w:t>3 – 15 years</w:t>
            </w:r>
          </w:p>
        </w:tc>
      </w:tr>
      <w:tr w:rsidR="0062640D" w14:paraId="6E99A376" w14:textId="77777777">
        <w:tc>
          <w:tcPr>
            <w:tcW w:w="3440" w:type="dxa"/>
            <w:tcBorders>
              <w:top w:val="single" w:sz="2" w:space="0" w:color="FF777C"/>
              <w:left w:val="nil"/>
              <w:bottom w:val="single" w:sz="2" w:space="0" w:color="FF777C"/>
              <w:right w:val="nil"/>
            </w:tcBorders>
            <w:tcMar>
              <w:top w:w="80" w:type="dxa"/>
              <w:left w:w="0" w:type="dxa"/>
              <w:bottom w:w="80" w:type="dxa"/>
              <w:right w:w="80" w:type="dxa"/>
            </w:tcMar>
          </w:tcPr>
          <w:p w14:paraId="56ECBD5B" w14:textId="77777777" w:rsidR="0062640D" w:rsidRDefault="00C12A80">
            <w:r>
              <w:t>Land is not depreciated.</w:t>
            </w:r>
          </w:p>
        </w:tc>
        <w:tc>
          <w:tcPr>
            <w:tcW w:w="6651" w:type="dxa"/>
            <w:tcBorders>
              <w:top w:val="single" w:sz="2" w:space="0" w:color="FF777C"/>
              <w:left w:val="nil"/>
              <w:bottom w:val="single" w:sz="2" w:space="0" w:color="FF777C"/>
              <w:right w:val="nil"/>
            </w:tcBorders>
          </w:tcPr>
          <w:p w14:paraId="53293316" w14:textId="77777777" w:rsidR="0062640D" w:rsidRDefault="0062640D"/>
        </w:tc>
      </w:tr>
    </w:tbl>
    <w:p w14:paraId="1720E938" w14:textId="77777777" w:rsidR="0062640D" w:rsidRDefault="0062640D"/>
    <w:p w14:paraId="649FCCDA" w14:textId="77777777" w:rsidR="0062640D" w:rsidRDefault="00C12A80">
      <w:r>
        <w:t>Residual values and useful lives are reviewed and adjusted if appropriate at each reporting date.</w:t>
      </w:r>
    </w:p>
    <w:p w14:paraId="6182BA49" w14:textId="77777777" w:rsidR="0062640D" w:rsidRDefault="0062640D"/>
    <w:p w14:paraId="6F315C5B" w14:textId="77777777" w:rsidR="0062640D" w:rsidRDefault="00C12A80">
      <w:r>
        <w:t xml:space="preserve">Land and buildings are revalued by qualified valuers on a sufficiently regular basis using open market value (which reflects a highest and best-use basis) so that the carrying value of an asset does not materially differ from its fair value at the reporting date. External revaluations of the Group’s land and buildings have been carried out in accordance with the Royal Institution of Chartered Surveyors (RICS) Valuation Standards and IFRS 13 </w:t>
      </w:r>
      <w:r>
        <w:rPr>
          <w:rStyle w:val="Italic"/>
        </w:rPr>
        <w:t>Fair Value Measuremen</w:t>
      </w:r>
      <w:r>
        <w:t>t.</w:t>
      </w:r>
    </w:p>
    <w:p w14:paraId="53B10718" w14:textId="77777777" w:rsidR="0062640D" w:rsidRDefault="0062640D"/>
    <w:p w14:paraId="4969FD1C" w14:textId="11FAFF3B" w:rsidR="0062640D" w:rsidRDefault="00C12A80">
      <w:r>
        <w:t xml:space="preserve">Surpluses on revaluation are recognised in other comprehensive income and accumulated in equity in the revaluation reserve, except to the extent that they reverse impairment losses previously charged to profit or loss, in which case the reversal is recorded in profit or loss. Decreases in value are charged against other comprehensive income and the revaluation reserve to the extent that a previous gain has been recorded </w:t>
      </w:r>
      <w:r w:rsidR="0096560F">
        <w:t>there and</w:t>
      </w:r>
      <w:r>
        <w:t xml:space="preserve"> thereafter are charged through profit or loss. </w:t>
      </w:r>
      <w:r w:rsidR="0096560F" w:rsidRPr="0096560F">
        <w:t xml:space="preserve">Prior to the disposal of any land and building, or reclassification as held for sale, a property asset </w:t>
      </w:r>
      <w:r w:rsidR="000C6713">
        <w:t>is</w:t>
      </w:r>
      <w:r w:rsidR="0096560F" w:rsidRPr="0096560F">
        <w:t xml:space="preserve"> revalued. Any carried forward revaluation surplus </w:t>
      </w:r>
      <w:r w:rsidR="000C6713">
        <w:t>is</w:t>
      </w:r>
      <w:r w:rsidR="0096560F" w:rsidRPr="0096560F">
        <w:t xml:space="preserve"> transferred to retained earnings in other comprehensive income on the completion of the disposal of the property asset.</w:t>
      </w:r>
    </w:p>
    <w:p w14:paraId="021FE967" w14:textId="77777777" w:rsidR="0062640D" w:rsidRDefault="0062640D"/>
    <w:p w14:paraId="1D49B9CF" w14:textId="77777777" w:rsidR="0062640D" w:rsidRDefault="00C12A80">
      <w:r>
        <w:t>Fixtures, fittings and equipment are reviewed for impairment when events or changes in circumstances indicate that the carrying value may not be recoverable. Assets that do not generate independent cash flows are combined into cash-generating units. If carrying values exceed estimated recoverable amounts, the assets or cash-generating units are written down to their recoverable amount. Recoverable amount is the greater of fair value less costs to sell and VIU. VIU is assessed based on estimated future cash flows discounted to their present value using a pre-tax discount rate that reflects current market assessments of the time value of money and risks specific to the asset.</w:t>
      </w:r>
    </w:p>
    <w:p w14:paraId="306A062E" w14:textId="77777777" w:rsidR="0062640D" w:rsidRDefault="0062640D"/>
    <w:p w14:paraId="6E7BE43B" w14:textId="77777777" w:rsidR="0062640D" w:rsidRDefault="00C12A80">
      <w:r>
        <w:t xml:space="preserve">The Group also applies IAS 36 </w:t>
      </w:r>
      <w:r>
        <w:rPr>
          <w:rStyle w:val="Italic"/>
        </w:rPr>
        <w:t>Impairment of Assets</w:t>
      </w:r>
      <w:r>
        <w:t xml:space="preserve"> to any cash-generating units, with fixtures, fittings and equipment which were previously </w:t>
      </w:r>
      <w:proofErr w:type="gramStart"/>
      <w:r>
        <w:t>impaired</w:t>
      </w:r>
      <w:proofErr w:type="gramEnd"/>
      <w:r>
        <w:t xml:space="preserve"> and which are not revalued, to assess whether previous impairments should be reversed. A reversal of a previous impairment charge is accounted for through profit or loss and only increases the carrying amount of the fixtures, fittings and equipment to a maximum of what it would have been if the original impairment charges had not been recognised in the first place.</w:t>
      </w:r>
    </w:p>
    <w:p w14:paraId="21EF9D40" w14:textId="77777777" w:rsidR="0062640D" w:rsidRDefault="0062640D"/>
    <w:p w14:paraId="007076CC" w14:textId="2496B4AB" w:rsidR="0062640D" w:rsidRDefault="00C12A80">
      <w:pPr>
        <w:pStyle w:val="Heading-2"/>
      </w:pPr>
      <w:r>
        <w:t>(xii) Investment property</w:t>
      </w:r>
    </w:p>
    <w:p w14:paraId="758A1BB7" w14:textId="77777777" w:rsidR="0062640D" w:rsidRDefault="00C12A80">
      <w:r>
        <w:t xml:space="preserve">Investment property is held either to earn rental income, or for capital appreciation, or for both, but not for sale in the ordinary course of business. </w:t>
      </w:r>
    </w:p>
    <w:p w14:paraId="4E5630BE" w14:textId="77777777" w:rsidR="0062640D" w:rsidRDefault="0062640D"/>
    <w:p w14:paraId="5B98D897" w14:textId="77777777" w:rsidR="0062640D" w:rsidRDefault="00C12A80">
      <w:r>
        <w:t xml:space="preserve">Investment property is initially measured at cost, including transaction costs, (or fair value when acquired through business combinations) and subsequently revalued by professional external valuers at their respective fair values. The difference between the fair value of an investment property at the reporting date and </w:t>
      </w:r>
      <w:proofErr w:type="gramStart"/>
      <w:r>
        <w:t>its</w:t>
      </w:r>
      <w:proofErr w:type="gramEnd"/>
      <w:r>
        <w:t xml:space="preserve"> carrying value prior to the external valuation is recognised in profit or loss. </w:t>
      </w:r>
    </w:p>
    <w:p w14:paraId="11BA0475" w14:textId="77777777" w:rsidR="0062640D" w:rsidRDefault="0062640D"/>
    <w:p w14:paraId="2849A9B0" w14:textId="77777777" w:rsidR="0062640D" w:rsidRDefault="00C12A80">
      <w:r>
        <w:t>The Group’s investment properties are valued by qualified valuers on an open market value basis in accordance with the Royal Institution of Chartered Surveyors (RICS) Valuation Standards and IFRS 13</w:t>
      </w:r>
      <w:r>
        <w:rPr>
          <w:rStyle w:val="Italic"/>
        </w:rPr>
        <w:t xml:space="preserve"> Fair Value Measurement</w:t>
      </w:r>
      <w:r>
        <w:t>.</w:t>
      </w:r>
    </w:p>
    <w:p w14:paraId="2CFF8CB8" w14:textId="77777777" w:rsidR="0062640D" w:rsidRDefault="0062640D"/>
    <w:p w14:paraId="62C64921" w14:textId="15C82FE5" w:rsidR="0062640D" w:rsidRDefault="00C12A80">
      <w:pPr>
        <w:pStyle w:val="Heading-2"/>
      </w:pPr>
      <w:r>
        <w:t>(xi</w:t>
      </w:r>
      <w:r w:rsidR="00AF05AF">
        <w:t>ii</w:t>
      </w:r>
      <w:r>
        <w:t>) Goodwill</w:t>
      </w:r>
    </w:p>
    <w:p w14:paraId="6BF07278" w14:textId="77777777" w:rsidR="0062640D" w:rsidRDefault="00C12A80">
      <w:r>
        <w:t>Goodwill represents the excess of the fair value of the consideration for an acquisition over the Group’s interest in the net fair value of the identifiable assets, liabilities and contingent liabilities of the acquiree. Goodwill is the future economic benefits arising from other assets in a business combination that are not individually identified and separately recognised.</w:t>
      </w:r>
    </w:p>
    <w:p w14:paraId="02644CA0" w14:textId="77777777" w:rsidR="0062640D" w:rsidRDefault="0062640D"/>
    <w:p w14:paraId="5CDC404F" w14:textId="77777777" w:rsidR="0062640D" w:rsidRDefault="00C12A80">
      <w:r>
        <w:t>Goodwill is measured at its initial carrying amount less accumulated impairment losses. The carrying amount of goodwill is tested annually for impairment, or more frequently if events or changes in circumstances indicate that it might be impaired. For the purposes of impairment testing, assets are grouped together into the smallest group of assets that generate cash inflows from continuing use that are largely independent of the cash inflows of other assets or groups of assets (the ‘cash-generating unit’).</w:t>
      </w:r>
    </w:p>
    <w:p w14:paraId="089BFAA9" w14:textId="77777777" w:rsidR="0062640D" w:rsidRDefault="0062640D"/>
    <w:p w14:paraId="62EBD559" w14:textId="77777777" w:rsidR="0062640D" w:rsidRDefault="00C12A80">
      <w:r>
        <w:t>The goodwill acquired in a business combination, for the purpose of impairment testing, is allocated to cash-generating units that are expected to benefit from the synergies of the combination.</w:t>
      </w:r>
    </w:p>
    <w:p w14:paraId="0C649AC4" w14:textId="77777777" w:rsidR="0062640D" w:rsidRDefault="0062640D"/>
    <w:p w14:paraId="0A92061B" w14:textId="77777777" w:rsidR="0062640D" w:rsidRDefault="00C12A80">
      <w:r>
        <w:t xml:space="preserve">The recoverable amount of a cash-generating unit is the greater of its VIU and its fair value less costs to sell. In assessing VIU, the estimated future cash flows are discounted to their present value using a pre-tax discount rate that reflects a current market assessment of the time value of money and the risks specific to the asset. </w:t>
      </w:r>
    </w:p>
    <w:p w14:paraId="1F00F66E" w14:textId="77777777" w:rsidR="0062640D" w:rsidRDefault="0062640D"/>
    <w:p w14:paraId="02FA8B6B" w14:textId="77777777" w:rsidR="0062640D" w:rsidRDefault="00C12A80">
      <w:r>
        <w:t>An impairment loss is recognised in profit or loss if the carrying amount of a cash-generating unit exceeds its estimated recoverable amount. Impairment losses recognised in respect of cash-generating units are allocated first to reduce the carrying amount of any goodwill allocated to the units and then to reduce the carrying amount of the other assets in the units on a pro-rata basis. Impairment losses of goodwill are not reversed once recognised.</w:t>
      </w:r>
    </w:p>
    <w:p w14:paraId="60C336D9" w14:textId="77777777" w:rsidR="0062640D" w:rsidRDefault="0062640D"/>
    <w:p w14:paraId="3C1C1EC4" w14:textId="77777777" w:rsidR="0062640D" w:rsidRDefault="00C12A80">
      <w:r>
        <w:t>The impairment testing process requires management to make significant judgements and estimates regarding the future cash flows expected to be generated by the cash-generating unit. Management evaluates and updates the judgements and estimates which underpin this process on an ongoing basis.</w:t>
      </w:r>
    </w:p>
    <w:p w14:paraId="1DD52051" w14:textId="77777777" w:rsidR="0062640D" w:rsidRDefault="0062640D"/>
    <w:p w14:paraId="14459879" w14:textId="3E11014F" w:rsidR="0062640D" w:rsidRDefault="00C12A80">
      <w:r>
        <w:t xml:space="preserve">The impairment methodology and key assumptions used by the Group for testing goodwill for impairment are outlined in notes </w:t>
      </w:r>
      <w:hyperlink w:anchor="note-10" w:history="1">
        <w:r w:rsidRPr="001D58A0">
          <w:rPr>
            <w:rStyle w:val="Hyperlink"/>
          </w:rPr>
          <w:t>10</w:t>
        </w:r>
      </w:hyperlink>
      <w:r>
        <w:t xml:space="preserve"> and </w:t>
      </w:r>
      <w:hyperlink w:anchor="note-12" w:history="1">
        <w:r w:rsidRPr="001D58A0">
          <w:rPr>
            <w:rStyle w:val="Hyperlink"/>
          </w:rPr>
          <w:t>12</w:t>
        </w:r>
      </w:hyperlink>
      <w:r>
        <w:t>.</w:t>
      </w:r>
    </w:p>
    <w:p w14:paraId="4CF713A7" w14:textId="77777777" w:rsidR="0062640D" w:rsidRDefault="0062640D"/>
    <w:p w14:paraId="3DB9C243" w14:textId="77777777" w:rsidR="0062640D" w:rsidRDefault="00C12A80">
      <w:r>
        <w:t xml:space="preserve">The assumptions and conditions for determining impairment of goodwill reflect management’s best estimates and judgements, but these items involve significant inherent uncertainties, many of which are not under the control of management. As a result, accounting for such items could result in different estimates or amounts if management used different assumptions or if different conditions occur in the future. </w:t>
      </w:r>
    </w:p>
    <w:p w14:paraId="1A5E60F4" w14:textId="77777777" w:rsidR="0062640D" w:rsidRDefault="0062640D"/>
    <w:p w14:paraId="31BA3799" w14:textId="3BE225E7" w:rsidR="0062640D" w:rsidRDefault="00C12A80">
      <w:pPr>
        <w:pStyle w:val="Heading-2"/>
      </w:pPr>
      <w:r>
        <w:t>(x</w:t>
      </w:r>
      <w:r w:rsidR="00AF05AF">
        <w:t>i</w:t>
      </w:r>
      <w:r>
        <w:t xml:space="preserve">v) Intangible assets other than goodwill </w:t>
      </w:r>
    </w:p>
    <w:p w14:paraId="4FF3C2F2" w14:textId="77777777" w:rsidR="0062640D" w:rsidRDefault="00C12A80">
      <w:r>
        <w:t xml:space="preserve">An intangible asset is only recognised where the item lacks a physical presence, is identifiable, non-monetary, controlled by the Group and expected to provide future economic benefits to the Group. </w:t>
      </w:r>
    </w:p>
    <w:p w14:paraId="558A9A00" w14:textId="77777777" w:rsidR="0062640D" w:rsidRDefault="0062640D"/>
    <w:p w14:paraId="4142D4E8" w14:textId="77777777" w:rsidR="0062640D" w:rsidRDefault="00C12A80">
      <w:r>
        <w:t>Intangible assets are measured at cost (or fair value when acquired through business combinations), less accumulated amortisation and impairment losses.</w:t>
      </w:r>
    </w:p>
    <w:p w14:paraId="3BEE9921" w14:textId="77777777" w:rsidR="0062640D" w:rsidRDefault="0062640D"/>
    <w:p w14:paraId="4B756074" w14:textId="39B22649" w:rsidR="0062640D" w:rsidRDefault="00C12A80">
      <w:r>
        <w:t>Intangible assets are amortised over the period of their expected useful lives by charging equal annual instalments to profit or loss. The useful life used to amortise intangible assets relates to the future performance of the asset and management’s judgement as to the period over which economic benefits will be derived from the asset.</w:t>
      </w:r>
    </w:p>
    <w:p w14:paraId="71021755" w14:textId="77777777" w:rsidR="0062640D" w:rsidRDefault="0062640D"/>
    <w:p w14:paraId="784605DF" w14:textId="6DD4F438" w:rsidR="0062640D" w:rsidRDefault="00C12A80">
      <w:pPr>
        <w:pStyle w:val="Heading-2"/>
      </w:pPr>
      <w:r>
        <w:t xml:space="preserve">(xv) Inventories </w:t>
      </w:r>
    </w:p>
    <w:p w14:paraId="2DF86612" w14:textId="5E26FF5A" w:rsidR="0062640D" w:rsidRDefault="00C12A80" w:rsidP="00AF05AF">
      <w:r>
        <w:t>Inventories are stated at the lower of cost (using the first-in, first-out (FIFO) basis) and net realisable value. Inventories represent assets that are sold in the normal course of business by the Group and consumables.</w:t>
      </w:r>
    </w:p>
    <w:p w14:paraId="2D707A63" w14:textId="77777777" w:rsidR="0062640D" w:rsidRDefault="0062640D"/>
    <w:p w14:paraId="4F13E422" w14:textId="57D0067B" w:rsidR="0062640D" w:rsidRDefault="00C12A80">
      <w:pPr>
        <w:pStyle w:val="Heading-2"/>
      </w:pPr>
      <w:r>
        <w:t>(x</w:t>
      </w:r>
      <w:r w:rsidR="00AF05AF">
        <w:t>vi</w:t>
      </w:r>
      <w:r>
        <w:t>) Cash and cash equivalents</w:t>
      </w:r>
    </w:p>
    <w:p w14:paraId="4923C0B8" w14:textId="7637E446" w:rsidR="0062640D" w:rsidRDefault="00C12A80">
      <w:r>
        <w:t>Cash and cash equivalents comprise cash balances and call deposits with</w:t>
      </w:r>
      <w:r w:rsidR="00065F22">
        <w:t xml:space="preserve"> original</w:t>
      </w:r>
      <w:r>
        <w:t xml:space="preserve"> maturities of three months or less, which are carried at amortised cost. </w:t>
      </w:r>
    </w:p>
    <w:p w14:paraId="7BA540E9" w14:textId="77777777" w:rsidR="0062640D" w:rsidRDefault="0062640D"/>
    <w:p w14:paraId="4D4319DB" w14:textId="77777777" w:rsidR="00AF05AF" w:rsidRPr="0033144F" w:rsidRDefault="00AF05AF" w:rsidP="0033144F">
      <w:pPr>
        <w:pStyle w:val="Heading-2"/>
      </w:pPr>
      <w:r w:rsidRPr="0033144F">
        <w:t xml:space="preserve">(xvii) Held for sale assets and liabilities </w:t>
      </w:r>
    </w:p>
    <w:p w14:paraId="2243D7B4" w14:textId="77777777" w:rsidR="00AF05AF" w:rsidRDefault="00AF05AF" w:rsidP="00AF05AF">
      <w:r w:rsidRPr="006B0F6B">
        <w:t xml:space="preserve">Assets and related liabilities are classified as held for sale if their carrying value will be recovered through a sale transaction rather than through continuing use. This condition is regarded as met if, the sale is highly probable, the assets and related liabilities are available for immediate sale in their present condition, management is committed to the sale and the sale is expected to be completed within one year from the date of classification. </w:t>
      </w:r>
    </w:p>
    <w:p w14:paraId="09EB6ECB" w14:textId="77777777" w:rsidR="000F122C" w:rsidRDefault="000F122C" w:rsidP="00AF05AF"/>
    <w:p w14:paraId="24C86675" w14:textId="372ABA2A" w:rsidR="0033144F" w:rsidRPr="009820A4" w:rsidRDefault="00585F2A" w:rsidP="009820A4">
      <w:r w:rsidRPr="009820A4">
        <w:t xml:space="preserve">On initial classification as held for sale, non-current assets are measured at the lower of; their carrying amount and fair value less costs to sell. Any land and buildings revaluation gain/loss immediately prior to reclassification as held for sale is </w:t>
      </w:r>
      <w:r w:rsidR="004A54E4" w:rsidRPr="009820A4">
        <w:t>measured</w:t>
      </w:r>
      <w:r w:rsidR="003631F8" w:rsidRPr="009820A4">
        <w:t xml:space="preserve"> in accordance with the land and buildings revaluation policy.</w:t>
      </w:r>
      <w:r w:rsidR="004A54E4" w:rsidRPr="009820A4">
        <w:t xml:space="preserve"> </w:t>
      </w:r>
    </w:p>
    <w:p w14:paraId="4A72A6C6" w14:textId="77777777" w:rsidR="004A54E4" w:rsidRPr="009820A4" w:rsidRDefault="004A54E4" w:rsidP="009820A4"/>
    <w:p w14:paraId="0DB82455" w14:textId="0A060A5E" w:rsidR="0062640D" w:rsidRDefault="00C12A80">
      <w:pPr>
        <w:pStyle w:val="Heading-2"/>
      </w:pPr>
      <w:r>
        <w:t>(x</w:t>
      </w:r>
      <w:r w:rsidR="00AF05AF">
        <w:t>viii</w:t>
      </w:r>
      <w:r>
        <w:t>) Trade and other receivables</w:t>
      </w:r>
    </w:p>
    <w:p w14:paraId="426B07E7" w14:textId="77777777" w:rsidR="009F333F" w:rsidRPr="006B0F6B" w:rsidRDefault="009F333F" w:rsidP="009F333F">
      <w:r w:rsidRPr="006B0F6B">
        <w:t>Trade and other receivables are stated initially at their fair value and subsequently at amortised cost, less any expected credit loss provision. The Group applies the simplified approach to measuring expected credit losses which uses a lifetime expected loss allowance for all trade receivables. Bad debts are written off to profit or loss on identification.</w:t>
      </w:r>
    </w:p>
    <w:p w14:paraId="4E0969C4" w14:textId="77777777" w:rsidR="0062640D" w:rsidRDefault="0062640D"/>
    <w:p w14:paraId="5A2B5832" w14:textId="5F5BDF99" w:rsidR="0062640D" w:rsidRDefault="00C12A80">
      <w:pPr>
        <w:pStyle w:val="Heading-2"/>
      </w:pPr>
      <w:r>
        <w:t>(x</w:t>
      </w:r>
      <w:r w:rsidR="009F333F">
        <w:t>i</w:t>
      </w:r>
      <w:r>
        <w:t>x) Trade and other payables</w:t>
      </w:r>
    </w:p>
    <w:p w14:paraId="4BE367C1" w14:textId="77777777" w:rsidR="0062640D" w:rsidRDefault="00C12A80">
      <w:r>
        <w:t xml:space="preserve">Trade and other payables are initially recorded at fair value, which is usually the original invoiced amount. Fair value for the initial recognition of payroll tax liabilities is the amount payable stated on the payroll submission filed with the tax authorities. Fair value for the initial recognition of VAT liabilities is the net amount of VAT payable to, and recoverable from, the tax authorities. Trade and other payables are subsequently carried at amortised cost using the effective interest method. Liabilities are derecognised when the obligation under the liability is discharged, cancelled or expired. </w:t>
      </w:r>
    </w:p>
    <w:p w14:paraId="1B299E13" w14:textId="77777777" w:rsidR="0062640D" w:rsidRDefault="0062640D"/>
    <w:p w14:paraId="26A20F4D" w14:textId="09E3F6A4" w:rsidR="0062640D" w:rsidRDefault="00C12A80">
      <w:pPr>
        <w:pStyle w:val="Heading-2"/>
      </w:pPr>
      <w:r>
        <w:t>(xx) Foreign currency</w:t>
      </w:r>
    </w:p>
    <w:p w14:paraId="3231D2FE" w14:textId="77777777" w:rsidR="0062640D" w:rsidRDefault="00C12A80">
      <w:r>
        <w:t>Transactions in currencies other than the functional currency of a Group entity are recorded at the rate of exchange prevailing on the date of the transactions. Monetary assets and liabilities denominated in foreign currencies at the reporting date are retranslated into the respective functional currency at the relevant rates of exchange ruling at the reporting date. Foreign exchange differences arising on translation are recognised in profit or loss.</w:t>
      </w:r>
    </w:p>
    <w:p w14:paraId="3C7821D5" w14:textId="77777777" w:rsidR="0062640D" w:rsidRDefault="0062640D"/>
    <w:p w14:paraId="67B6ADC3" w14:textId="77777777" w:rsidR="0062640D" w:rsidRDefault="00C12A80">
      <w:r>
        <w:t xml:space="preserve">The assets and liabilities of foreign operations are translated into Euro at the exchange rate ruling at the reporting date. The income and expenses of foreign operations are translated into Euro at rates approximating the exchange rates at the dates of the transactions. </w:t>
      </w:r>
    </w:p>
    <w:p w14:paraId="6634F352" w14:textId="77777777" w:rsidR="0062640D" w:rsidRDefault="0062640D"/>
    <w:p w14:paraId="186776B2" w14:textId="77777777" w:rsidR="0062640D" w:rsidRDefault="00C12A80">
      <w:r>
        <w:t xml:space="preserve">Foreign exchange differences arising on the translation of foreign operations are recognised in other comprehensive income and are included in the translation reserve within equity. </w:t>
      </w:r>
    </w:p>
    <w:p w14:paraId="54413F56" w14:textId="77777777" w:rsidR="0062640D" w:rsidRDefault="0062640D"/>
    <w:p w14:paraId="6627BAAE" w14:textId="1BC0901F" w:rsidR="0062640D" w:rsidRDefault="00C12A80">
      <w:pPr>
        <w:pStyle w:val="Heading-2"/>
      </w:pPr>
      <w:r>
        <w:t xml:space="preserve">(xxi) Provisions and contingent liabilities </w:t>
      </w:r>
    </w:p>
    <w:p w14:paraId="1D318964" w14:textId="77777777" w:rsidR="0062640D" w:rsidRDefault="00C12A80">
      <w:r>
        <w:t xml:space="preserve">A provision is recognised in the statement of financial position when the Group has a present legal or constructive obligation </w:t>
      </w:r>
      <w:proofErr w:type="gramStart"/>
      <w:r>
        <w:t>as a result of</w:t>
      </w:r>
      <w:proofErr w:type="gramEnd"/>
      <w:r>
        <w:t xml:space="preserve"> a past event, and it is probable that an outflow of economic benefits will be required to settle the obligation. If the effect is material, provisions are determined by discounting the expected future cash flows at a pre-tax rate that reflects current market assessments of the time value of money and, where appropriate, the risks specific to the liability.</w:t>
      </w:r>
    </w:p>
    <w:p w14:paraId="1070958D" w14:textId="77777777" w:rsidR="0062640D" w:rsidRDefault="0062640D"/>
    <w:p w14:paraId="4A25FBFE" w14:textId="77777777" w:rsidR="0062640D" w:rsidRDefault="00C12A80">
      <w:r>
        <w:t xml:space="preserve">The provision in respect of self-insured risks includes projected settlements for known claims and incurred but not reported claims. </w:t>
      </w:r>
    </w:p>
    <w:p w14:paraId="2E411AD6" w14:textId="77777777" w:rsidR="0062640D" w:rsidRDefault="0062640D"/>
    <w:p w14:paraId="12AF5C3C" w14:textId="77777777" w:rsidR="0062640D" w:rsidRDefault="00C12A80">
      <w:r>
        <w:t>Where it is not probable that an outflow of economic benefits will be required, or the amount cannot be estimated reliably, the obligation is disclosed as a contingent liability, unless the probability of an outflow of economic benefits is remote. Possible obligations, whose existence will only be confirmed by the occurrence or non-occurrence of one or more future events, are also disclosed as contingent liabilities unless the probability of an outflow of economic benefits is remote.</w:t>
      </w:r>
    </w:p>
    <w:p w14:paraId="6C723120" w14:textId="77777777" w:rsidR="0062640D" w:rsidRDefault="0062640D"/>
    <w:p w14:paraId="73D395D4" w14:textId="69DE971F" w:rsidR="0062640D" w:rsidRDefault="00C12A80">
      <w:pPr>
        <w:pStyle w:val="Heading-2"/>
      </w:pPr>
      <w:r>
        <w:t>(xxi</w:t>
      </w:r>
      <w:r w:rsidR="009F333F">
        <w:t>i</w:t>
      </w:r>
      <w:r>
        <w:t>) Ordinary shares</w:t>
      </w:r>
    </w:p>
    <w:p w14:paraId="13A825AA" w14:textId="23C32BCD" w:rsidR="00585F2A" w:rsidRPr="006B0F6B" w:rsidRDefault="00585F2A" w:rsidP="00585F2A">
      <w:pPr>
        <w:rPr>
          <w:lang w:val="en-IE"/>
        </w:rPr>
      </w:pPr>
      <w:r w:rsidRPr="006B0F6B">
        <w:t xml:space="preserve">Ordinary shares are classified as equity. Incremental costs directly attributable to the issuance of ordinary shares are recognised as a deduction from equity, net of any tax effects. Merger relief is availed of by the Group where possible. </w:t>
      </w:r>
      <w:r w:rsidRPr="006B0F6B">
        <w:rPr>
          <w:lang w:val="en-IE"/>
        </w:rPr>
        <w:t xml:space="preserve">Repurchased shares are classified as treasury shares and are presented in the treasury share reserve. </w:t>
      </w:r>
      <w:r w:rsidRPr="009C4D1F">
        <w:rPr>
          <w:lang w:val="en-IE"/>
        </w:rPr>
        <w:t xml:space="preserve">Repurchase of the Company’s own equity instruments is recognised and deducted from equity with a transfer between the </w:t>
      </w:r>
      <w:r>
        <w:rPr>
          <w:lang w:val="en-IE"/>
        </w:rPr>
        <w:t>treasury share</w:t>
      </w:r>
      <w:r w:rsidRPr="009C4D1F">
        <w:rPr>
          <w:lang w:val="en-IE"/>
        </w:rPr>
        <w:t xml:space="preserve"> reserve and retained earnings when they are cancelled. No gain or loss is recognised in profit or loss on the purchase, sale, issue or cancellation of the Company’s own equity instruments.</w:t>
      </w:r>
      <w:r>
        <w:rPr>
          <w:lang w:val="en-IE"/>
        </w:rPr>
        <w:t xml:space="preserve"> </w:t>
      </w:r>
      <w:r w:rsidRPr="006B0F6B">
        <w:rPr>
          <w:lang w:val="en-IE"/>
        </w:rPr>
        <w:t xml:space="preserve">When treasury shares are sold or reissued subsequently, the amount received is recognised as an increase in equity and the resulting surplus or deficit on the transaction is presented within </w:t>
      </w:r>
      <w:r>
        <w:rPr>
          <w:lang w:val="en-IE"/>
        </w:rPr>
        <w:t>share premium</w:t>
      </w:r>
      <w:r w:rsidRPr="006B0F6B">
        <w:rPr>
          <w:lang w:val="en-IE"/>
        </w:rPr>
        <w:t>.</w:t>
      </w:r>
    </w:p>
    <w:p w14:paraId="6DFA63A5" w14:textId="77777777" w:rsidR="0062640D" w:rsidRDefault="0062640D"/>
    <w:p w14:paraId="39CD9964" w14:textId="7D34BDD6" w:rsidR="0062640D" w:rsidRDefault="00C12A80">
      <w:pPr>
        <w:pStyle w:val="Heading-2"/>
      </w:pPr>
      <w:r>
        <w:t>(xx</w:t>
      </w:r>
      <w:r w:rsidR="009F333F">
        <w:t>iii</w:t>
      </w:r>
      <w:r>
        <w:t xml:space="preserve">) </w:t>
      </w:r>
      <w:r w:rsidR="00E52B9E">
        <w:t>Loans and borrowings</w:t>
      </w:r>
    </w:p>
    <w:p w14:paraId="1F82731D" w14:textId="6B63C01D" w:rsidR="0062640D" w:rsidRDefault="00C12A80">
      <w:r>
        <w:t xml:space="preserve">Bank loans and private placement notes are recognised initially at the fair value of the consideration received, less directly attributable transaction costs. </w:t>
      </w:r>
      <w:proofErr w:type="gramStart"/>
      <w:r>
        <w:t>Subsequent to</w:t>
      </w:r>
      <w:proofErr w:type="gramEnd"/>
      <w:r>
        <w:t xml:space="preserve"> initial recognition, bank loans and private placement notes are stated at amortised cost with any difference between cost and redemption value being recognised in profit or loss over the period of the </w:t>
      </w:r>
      <w:r w:rsidR="007B5001">
        <w:t xml:space="preserve">bank loans and private placement loan notes </w:t>
      </w:r>
      <w:r>
        <w:t>on an effective interest rate basis. Commitment fees incurred in connection with bank loans are expensed as incurred to profit or loss.</w:t>
      </w:r>
    </w:p>
    <w:p w14:paraId="6A86D495" w14:textId="77777777" w:rsidR="0062640D" w:rsidRDefault="0062640D"/>
    <w:p w14:paraId="52E8954D" w14:textId="6CCDFEA9" w:rsidR="009F333F" w:rsidRDefault="009F333F" w:rsidP="009F333F">
      <w:pPr>
        <w:pStyle w:val="Heading-2"/>
      </w:pPr>
      <w:r>
        <w:t xml:space="preserve">(xxiv) </w:t>
      </w:r>
      <w:r w:rsidR="00335082">
        <w:t>Net f</w:t>
      </w:r>
      <w:r>
        <w:t>inance costs</w:t>
      </w:r>
    </w:p>
    <w:p w14:paraId="7D8A4547" w14:textId="77777777" w:rsidR="00187157" w:rsidRPr="005F6C5C" w:rsidRDefault="00187157" w:rsidP="005F6C5C">
      <w:r w:rsidRPr="005F6C5C">
        <w:t>Finance costs comprise interest expense on bank loans, private placement notes and related financial instruments, commitment fees and other costs relating to financing of the Group.</w:t>
      </w:r>
    </w:p>
    <w:p w14:paraId="3C90B200" w14:textId="77777777" w:rsidR="00187157" w:rsidRPr="005F6C5C" w:rsidRDefault="00187157" w:rsidP="005F6C5C"/>
    <w:p w14:paraId="1609718F" w14:textId="77777777" w:rsidR="00187157" w:rsidRDefault="00187157" w:rsidP="005F6C5C">
      <w:r w:rsidRPr="005F6C5C">
        <w:t>Interest expense on bank loans and private placement notes are recognised using the effective interest method. The effective interest rate of a financial liability is calculated on initial recognition of a financial liability. In calculating interest expense, the effective interest rate is applied to the amortised cost of the liability.</w:t>
      </w:r>
    </w:p>
    <w:p w14:paraId="373D1696" w14:textId="77777777" w:rsidR="005F6C5C" w:rsidRPr="005F6C5C" w:rsidRDefault="005F6C5C" w:rsidP="005F6C5C"/>
    <w:p w14:paraId="03564056" w14:textId="30EAE938" w:rsidR="00187157" w:rsidRDefault="00187157" w:rsidP="005F6C5C">
      <w:r w:rsidRPr="005F6C5C">
        <w:t>If a financial liability is deemed to be non-substantially modified (less than 10 percent different) (see policy (xxv)</w:t>
      </w:r>
      <w:r w:rsidR="00223039" w:rsidRPr="005F6C5C">
        <w:t>)</w:t>
      </w:r>
      <w:r w:rsidRPr="005F6C5C">
        <w:t>, the amortised cost of the liability is recalculated by discounting the modified cash flows at the original effective interest rate and the resulting modification gain or loss is recognised in finance costs in profit or loss.  For floating-rate financial liabilities, the original effective interest rate is adjusted to reflect the current market terms at the time of the modification.</w:t>
      </w:r>
    </w:p>
    <w:p w14:paraId="62134004" w14:textId="77777777" w:rsidR="005F6C5C" w:rsidRPr="005F6C5C" w:rsidRDefault="005F6C5C" w:rsidP="005F6C5C"/>
    <w:p w14:paraId="1EEEDE5D" w14:textId="3F01E236" w:rsidR="00187157" w:rsidRDefault="00187157" w:rsidP="005F6C5C">
      <w:r w:rsidRPr="005F6C5C">
        <w:t>If a financial liability is deemed to be substantially modified (more than 10 percent different) (see policy (xxv)</w:t>
      </w:r>
      <w:r w:rsidR="00223039" w:rsidRPr="005F6C5C">
        <w:t>)</w:t>
      </w:r>
      <w:r w:rsidRPr="005F6C5C">
        <w:t>, the difference between the carrying amount of the financial liability derecognised and consideration paid is recognised as a modification gain/loss in finance costs in profit or loss. Any costs in relation to the new financial liability are recognised as part of this modification gain/loss in finance costs in profit or loss.</w:t>
      </w:r>
    </w:p>
    <w:p w14:paraId="6589B47E" w14:textId="77777777" w:rsidR="005F6C5C" w:rsidRPr="005F6C5C" w:rsidRDefault="005F6C5C" w:rsidP="005F6C5C"/>
    <w:p w14:paraId="525BAEF4" w14:textId="35AF896A" w:rsidR="00585F2A" w:rsidRDefault="00585F2A" w:rsidP="005F6C5C">
      <w:r w:rsidRPr="00585F2A">
        <w:t xml:space="preserve">Finance costs incurred for qualifying assets, which take a substantial </w:t>
      </w:r>
      <w:proofErr w:type="gramStart"/>
      <w:r w:rsidRPr="00585F2A">
        <w:t>period of time</w:t>
      </w:r>
      <w:proofErr w:type="gramEnd"/>
      <w:r w:rsidRPr="00585F2A">
        <w:t xml:space="preserve"> to construct, are added to the cost of the asset during the period of time required to complete and prepare the asset for its intended use or sale. The Group uses two capitalisation rates being the Euro and Sterling weighted average interest rates of borrowings and loan notes, including the impact of hedging if any, which are applied to qualifying assets based on the currency of their geographic jurisdiction. Capitalisation commences on the date on which the Group undertakes activities that are necessary to prepare the asset for its intended use. Capitalisation of borrowing costs ceases when the asset is ready for its intended use</w:t>
      </w:r>
      <w:r w:rsidR="007B5830">
        <w:t xml:space="preserve"> </w:t>
      </w:r>
      <w:r w:rsidR="007B5830" w:rsidRPr="007B5830">
        <w:t>and is suspended when an active development is delayed over an extended period.</w:t>
      </w:r>
      <w:r w:rsidRPr="00585F2A">
        <w:t xml:space="preserve"> </w:t>
      </w:r>
    </w:p>
    <w:p w14:paraId="4CD55553" w14:textId="33154743" w:rsidR="00187157" w:rsidRPr="005F6C5C" w:rsidRDefault="00187157" w:rsidP="005F6C5C">
      <w:r w:rsidRPr="005F6C5C">
        <w:t xml:space="preserve"> </w:t>
      </w:r>
    </w:p>
    <w:p w14:paraId="627995DC" w14:textId="1CCC27BB" w:rsidR="009F333F" w:rsidRDefault="00187157" w:rsidP="005F6C5C">
      <w:r w:rsidRPr="005F6C5C">
        <w:t>Finance costs also include interest on lease liabilities.</w:t>
      </w:r>
    </w:p>
    <w:p w14:paraId="45BDC548" w14:textId="77777777" w:rsidR="005F6C5C" w:rsidRDefault="005F6C5C" w:rsidP="005F6C5C"/>
    <w:p w14:paraId="5196490C" w14:textId="7EAA69B8" w:rsidR="0062640D" w:rsidRDefault="00C12A80">
      <w:pPr>
        <w:pStyle w:val="Heading-2"/>
      </w:pPr>
      <w:r>
        <w:t>(xxv) Derecognition of financial liabilities</w:t>
      </w:r>
    </w:p>
    <w:p w14:paraId="0D7D20F0" w14:textId="77777777" w:rsidR="0062640D" w:rsidRDefault="00C12A80">
      <w:r>
        <w:t>The Group removes a financial liability from its statement of financial position when it is extinguished (when its contractual obligations are discharged, cancelled, or expire).</w:t>
      </w:r>
    </w:p>
    <w:p w14:paraId="146546EB" w14:textId="77777777" w:rsidR="0062640D" w:rsidRDefault="0062640D"/>
    <w:p w14:paraId="0C5E73E6" w14:textId="77777777" w:rsidR="0062640D" w:rsidRDefault="00C12A80">
      <w:r>
        <w:t>The Group also derecognises a financial liability when the terms and the cash flows of a modified liability are substantially different. The terms are substantially different if the discounted present value of the cash flows under the new terms, discounted using the original effective interest rate, including any fees paid to lenders net of any fees received, is at least 10 percent different from the discounted present value of the remaining cash flows of the original financial liability, discounted at the original effective interest rate, (the ‘10% test’). In addition, a qualitative assessment is carried out of the new terms in the new facility agreement to determine whether there is a substantial modification.</w:t>
      </w:r>
    </w:p>
    <w:p w14:paraId="1E90FFD2" w14:textId="77777777" w:rsidR="0062640D" w:rsidRDefault="0062640D"/>
    <w:p w14:paraId="3BB2D6C8" w14:textId="77777777" w:rsidR="0062640D" w:rsidRDefault="00C12A80">
      <w:r>
        <w:t xml:space="preserve">If the financial liability is deemed substantially modified, a new financial liability based on the modified terms is recognised at fair value. The difference between the carrying amount of the financial liability derecognised and consideration paid is recognised in profit or loss. Any costs in relation to the new financial liability are recognised in profit or loss. </w:t>
      </w:r>
    </w:p>
    <w:p w14:paraId="56E69909" w14:textId="77777777" w:rsidR="0062640D" w:rsidRDefault="0062640D"/>
    <w:p w14:paraId="6789DB10" w14:textId="77777777" w:rsidR="0062640D" w:rsidRDefault="00C12A80">
      <w:r>
        <w:t>If the financial liability is deemed non-substantially modified, the amortised cost of the liability is recalculated by discounting the modified cash flows at the original effective interest rate and the resulting modification gain or loss is recognised in profit or loss. Any costs and fees directly attributable to the modified financial liability are recognised as an adjustment to the carrying amount of the modified financial liability and amortised over its remaining term by re-computing the effective interest rate on the instrument.</w:t>
      </w:r>
    </w:p>
    <w:p w14:paraId="2EA5EB20" w14:textId="77777777" w:rsidR="0062640D" w:rsidRDefault="0062640D"/>
    <w:p w14:paraId="2E39FD33" w14:textId="6AA6ACA8" w:rsidR="0062640D" w:rsidRDefault="00C12A80">
      <w:pPr>
        <w:pStyle w:val="Heading-2"/>
      </w:pPr>
      <w:r>
        <w:t>(xxvi) Derivative financial instruments</w:t>
      </w:r>
    </w:p>
    <w:p w14:paraId="5744ED73" w14:textId="77777777" w:rsidR="00187157" w:rsidRPr="006B0F6B" w:rsidRDefault="00187157" w:rsidP="00187157">
      <w:r w:rsidRPr="006B0F6B">
        <w:t>The Group’s borrowings expose it to the financial risks of changes in interest rates. The Group uses derivative financial instruments such as interest rate swap agreements to hedge these exposures. Interest rate swaps convert part of the Group’s borrowings from floating to fixed interest rates. The Group does not use derivatives for trading or speculative purposes.</w:t>
      </w:r>
    </w:p>
    <w:p w14:paraId="0A564194" w14:textId="77777777" w:rsidR="00187157" w:rsidRPr="006B0F6B" w:rsidRDefault="00187157" w:rsidP="00187157"/>
    <w:p w14:paraId="2A1E745A" w14:textId="2BDAA27E" w:rsidR="00187157" w:rsidRPr="006B0F6B" w:rsidRDefault="00187157" w:rsidP="00187157">
      <w:r w:rsidRPr="006B0F6B">
        <w:t>Derivative financial instruments are recognised at fair value on the</w:t>
      </w:r>
      <w:r w:rsidR="00474801">
        <w:t xml:space="preserve"> effective</w:t>
      </w:r>
      <w:r w:rsidRPr="006B0F6B">
        <w:t xml:space="preserve"> date </w:t>
      </w:r>
      <w:r w:rsidR="00474801">
        <w:t>of the</w:t>
      </w:r>
      <w:r w:rsidRPr="006B0F6B">
        <w:t xml:space="preserve"> derivative contract plus directly attributable transaction costs and are subsequently re-measured at fair value. Derivatives are carried as assets when the fair value is positive and as liabilities when the fair value is negative. </w:t>
      </w:r>
    </w:p>
    <w:p w14:paraId="6D627344" w14:textId="77777777" w:rsidR="00187157" w:rsidRPr="006B0F6B" w:rsidRDefault="00187157" w:rsidP="00187157"/>
    <w:p w14:paraId="74ECD7FC" w14:textId="77777777" w:rsidR="00187157" w:rsidRPr="006B0F6B" w:rsidRDefault="00187157" w:rsidP="00187157">
      <w:r w:rsidRPr="006B0F6B">
        <w:t>The full fair value of a hedging derivative is classified as a non-current asset or non-current liability if the remaining maturity of the hedging instrument is more than twelve months and as a current asset or current liability if the remaining maturity of the hedging instrument is less than twelve months.</w:t>
      </w:r>
    </w:p>
    <w:p w14:paraId="3D26C81F" w14:textId="77777777" w:rsidR="00187157" w:rsidRPr="006B0F6B" w:rsidRDefault="00187157" w:rsidP="00187157"/>
    <w:p w14:paraId="13D8248E" w14:textId="77777777" w:rsidR="00187157" w:rsidRPr="006B0F6B" w:rsidRDefault="00187157" w:rsidP="00187157">
      <w:r w:rsidRPr="006B0F6B">
        <w:t>The fair value of derivative instruments is determined by using valuation techniques. The Group uses its judgement to select the most appropriate valuation methods and makes assumptions that are mainly based on observable market conditions (Level 2 fair values) existing at the reporting date.</w:t>
      </w:r>
    </w:p>
    <w:p w14:paraId="65FF2683" w14:textId="77777777" w:rsidR="00187157" w:rsidRPr="006B0F6B" w:rsidRDefault="00187157" w:rsidP="00187157"/>
    <w:p w14:paraId="08756202" w14:textId="77777777" w:rsidR="00187157" w:rsidRPr="006B0F6B" w:rsidRDefault="00187157" w:rsidP="00187157">
      <w:r w:rsidRPr="006B0F6B">
        <w:t>The method of recognising the resulting gain or loss depends on whether the derivative is designated as a hedging instrument, and if so, the nature of the item being hedged.</w:t>
      </w:r>
    </w:p>
    <w:p w14:paraId="5AB18095" w14:textId="77777777" w:rsidR="0062640D" w:rsidRDefault="0062640D"/>
    <w:p w14:paraId="669EC4E5" w14:textId="08BB4DB4" w:rsidR="0062640D" w:rsidRDefault="00C12A80">
      <w:pPr>
        <w:pStyle w:val="Heading-2"/>
      </w:pPr>
      <w:r>
        <w:t>(xxvii) Cash flow hedge accounting</w:t>
      </w:r>
    </w:p>
    <w:p w14:paraId="73F46D30" w14:textId="77777777" w:rsidR="0062640D" w:rsidRDefault="00C12A80">
      <w:r>
        <w:t xml:space="preserve">Cash flow hedge accounting is applied in accordance with IFRS 9 </w:t>
      </w:r>
      <w:r>
        <w:rPr>
          <w:rStyle w:val="Italic"/>
        </w:rPr>
        <w:t>Financial Instruments</w:t>
      </w:r>
      <w:r>
        <w:t>. For those derivatives designated as cash flow hedges and for which hedge accounting is desired, the hedging relationship is documented at its inception. This documentation identifies the hedging instrument, the hedged item or transaction, the nature of the risk being hedged and its risk management objectives and strategy for undertaking the hedging transaction. The Group also documents its assessment, both at hedge inception and on a semi-annual basis, of whether the derivatives that are used in hedging transactions are highly effective in offsetting changes in cash flows of hedged items.</w:t>
      </w:r>
    </w:p>
    <w:p w14:paraId="030DCF24" w14:textId="77777777" w:rsidR="0062640D" w:rsidRDefault="0062640D"/>
    <w:p w14:paraId="43D03F91" w14:textId="77777777" w:rsidR="0062640D" w:rsidRDefault="00C12A80">
      <w:r>
        <w:t>Where a derivative financial instrument is designated as a hedge of the variability in cash flows of a recognised asset or liability, the effective part of any gain or loss on the derivative financial instrument is recognised in other comprehensive income and accumulated in equity in the hedging reserve. Any ineffective portion is recognised immediately in profit or loss as finance income or costs. The amount accumulated in equity is retained in other comprehensive income and reclassified to profit or loss in the same period or periods during which the hedged item affects profit or loss.</w:t>
      </w:r>
    </w:p>
    <w:p w14:paraId="27236CF4" w14:textId="77777777" w:rsidR="0062640D" w:rsidRDefault="0062640D"/>
    <w:p w14:paraId="15179DDE" w14:textId="77777777" w:rsidR="0062640D" w:rsidRDefault="00C12A80">
      <w:r>
        <w:t>Hedge accounting is discontinued when the hedging instrument expires or is sold, terminated, exercised, or no longer qualifies for hedge accounting or the designation is revoked. At that point in time, any cumulative gain or loss on the hedging instrument recognised in equity remains in equity and is recognised when the forecast transaction is ultimately recognised in profit or loss. However, if a hedged transaction is no longer anticipated to occur, the net cumulative gain or loss accumulated in equity is reclassified to profit or loss.</w:t>
      </w:r>
    </w:p>
    <w:p w14:paraId="460FFD3A" w14:textId="77777777" w:rsidR="0062640D" w:rsidRDefault="00C12A80">
      <w:r>
        <w:t xml:space="preserve"> </w:t>
      </w:r>
    </w:p>
    <w:p w14:paraId="6E728105" w14:textId="2D919A01" w:rsidR="0062640D" w:rsidRDefault="00C12A80">
      <w:pPr>
        <w:pStyle w:val="Heading-2"/>
      </w:pPr>
      <w:r>
        <w:t>(xx</w:t>
      </w:r>
      <w:r w:rsidR="009F333F">
        <w:t>viii</w:t>
      </w:r>
      <w:r>
        <w:t>) Net investment hedges</w:t>
      </w:r>
    </w:p>
    <w:p w14:paraId="39CC8CAF" w14:textId="483F701A" w:rsidR="0062640D" w:rsidRDefault="00C12A80">
      <w:r>
        <w:t xml:space="preserve">Where relevant, the Group uses a net investment hedge, whereby the foreign currency exposure arising from a net investment in a foreign operation is hedged using borrowings held by a Group entity </w:t>
      </w:r>
      <w:r w:rsidR="00F369F1">
        <w:t xml:space="preserve">and loan notes </w:t>
      </w:r>
      <w:r w:rsidR="00AC6BCD">
        <w:t xml:space="preserve">issued by the Group </w:t>
      </w:r>
      <w:r>
        <w:t xml:space="preserve">that is denominated in the functional currency of the foreign operation. </w:t>
      </w:r>
    </w:p>
    <w:p w14:paraId="773DF6C1" w14:textId="77777777" w:rsidR="0062640D" w:rsidRDefault="0062640D"/>
    <w:p w14:paraId="1F303A82" w14:textId="77777777" w:rsidR="0062640D" w:rsidRDefault="00C12A80">
      <w:r>
        <w:t>Foreign currency differences arising on the retranslation of a financial liability designated as a hedge of a net investment in a foreign operation are recognised directly in other comprehensive income in the foreign currency translation reserve, to the extent that the hedge is effective. To the extent that the hedge is ineffective, such differences are recognised in profit or loss. When the hedged part of a net investment is disposed of, the associated cumulative amount in equity is reclassified to profit or loss.</w:t>
      </w:r>
    </w:p>
    <w:p w14:paraId="18415263" w14:textId="77777777" w:rsidR="0062640D" w:rsidRDefault="0062640D"/>
    <w:p w14:paraId="1D026C8B" w14:textId="1100A196" w:rsidR="0062640D" w:rsidRDefault="00C12A80">
      <w:pPr>
        <w:pStyle w:val="Heading-2"/>
      </w:pPr>
      <w:r>
        <w:t>(xx</w:t>
      </w:r>
      <w:r w:rsidR="009F333F">
        <w:t>ix</w:t>
      </w:r>
      <w:r>
        <w:t xml:space="preserve">) Adjusting items </w:t>
      </w:r>
    </w:p>
    <w:p w14:paraId="010ADC67" w14:textId="77777777" w:rsidR="0062640D" w:rsidRDefault="00C12A80">
      <w:r>
        <w:t xml:space="preserve">Consistent with how business performance is measured and managed internally, the Group reports both statutory measures prepared under IFRS and certain alternative performance measures (‘APMs’) that are not required under IFRS. These APMs are sometimes referred to as ‘non-GAAP’ measures and include, amongst others, Adjusted EBITDA, Free Cashflow per Share, and Adjusted EPS. </w:t>
      </w:r>
    </w:p>
    <w:p w14:paraId="18B60EF9" w14:textId="77777777" w:rsidR="0062640D" w:rsidRDefault="0062640D"/>
    <w:p w14:paraId="1B6918BD" w14:textId="77777777" w:rsidR="0062640D" w:rsidRDefault="00C12A80">
      <w:r>
        <w:t xml:space="preserve">The Group believes that the presentation of these APMs provides useful supplemental information which, when viewed in conjunction with the financial information presented under IFRS, provides stakeholders with a meaningful understanding of the underlying financial and operating performance of the Group. </w:t>
      </w:r>
    </w:p>
    <w:p w14:paraId="29E6C512" w14:textId="77777777" w:rsidR="0062640D" w:rsidRDefault="0062640D"/>
    <w:p w14:paraId="1522FA6D" w14:textId="77777777" w:rsidR="0062640D" w:rsidRDefault="00C12A80">
      <w:r>
        <w:t>Adjusted measures of profitability represent the equivalent IFRS measures adjusted to show the underlying operating performance of the Group and exclude items which are not reflective of normal trading activities or distort comparability either year on year or with other similar businesses.</w:t>
      </w:r>
    </w:p>
    <w:p w14:paraId="488E6690" w14:textId="77777777" w:rsidR="0062640D" w:rsidRDefault="0062640D"/>
    <w:p w14:paraId="1A017D0E" w14:textId="77777777" w:rsidR="0062640D" w:rsidRDefault="00C12A80">
      <w:pPr>
        <w:pStyle w:val="Heading-1"/>
      </w:pPr>
      <w:r>
        <w:t>2 Operating segments</w:t>
      </w:r>
    </w:p>
    <w:p w14:paraId="4627344A" w14:textId="77777777" w:rsidR="0062640D" w:rsidRDefault="0062640D"/>
    <w:p w14:paraId="690DC92E" w14:textId="77777777" w:rsidR="0062640D" w:rsidRDefault="00C12A80">
      <w:r>
        <w:t xml:space="preserve">The Group’s segments are reported in accordance with IFRS 8 </w:t>
      </w:r>
      <w:r>
        <w:rPr>
          <w:rStyle w:val="Italic"/>
        </w:rPr>
        <w:t>Operating Segments</w:t>
      </w:r>
      <w:r>
        <w:t xml:space="preserve">. The segment information is reported in the same way as it is reviewed and analysed internally by the chief operating decision makers, primarily, the Executive Directors. </w:t>
      </w:r>
    </w:p>
    <w:p w14:paraId="50EBE2CB" w14:textId="77777777" w:rsidR="0062640D" w:rsidRDefault="0062640D"/>
    <w:p w14:paraId="046873F8" w14:textId="77777777" w:rsidR="0062640D" w:rsidRDefault="00C12A80">
      <w:r>
        <w:t xml:space="preserve">The Group segments its leased and owned business by geographical region within which the hotels operate being Dublin, Regional Ireland, the UK and Continental Europe. These comprise the Group’s four reportable segments. </w:t>
      </w:r>
    </w:p>
    <w:p w14:paraId="3635ABFD" w14:textId="77777777" w:rsidR="0062640D" w:rsidRDefault="0062640D"/>
    <w:p w14:paraId="4413D9E8" w14:textId="77777777" w:rsidR="0062640D" w:rsidRDefault="00C12A80">
      <w:pPr>
        <w:pStyle w:val="Heading-2"/>
      </w:pPr>
      <w:r>
        <w:t>Dublin, Regional Ireland, the UK and Continental Europe segments</w:t>
      </w:r>
    </w:p>
    <w:p w14:paraId="489B80AF" w14:textId="77777777" w:rsidR="0062640D" w:rsidRDefault="00C12A80">
      <w:r>
        <w:t>These segments are concerned with hotels that are either owned or leased by the Group. As at 31 December 2024, the owned portfolio consists of 31 hotels which it operates (31 December 2023: 31 hotels) and includes hotels for which the Group has majority or effective ownership. The Group also leases 22 hotel buildings from property owners (31 December 2023: 19 hotels) and is entitled to the benefits and carries the risks associated with operating these hotels.</w:t>
      </w:r>
    </w:p>
    <w:p w14:paraId="10A48687" w14:textId="77777777" w:rsidR="0062640D" w:rsidRDefault="0062640D"/>
    <w:p w14:paraId="12C9B16D" w14:textId="77777777" w:rsidR="0062640D" w:rsidRDefault="00C12A80">
      <w:r>
        <w:t>The Group’s revenue from leased and owned hotels is primarily derived from room sales and food and beverage sales in restaurants, bars and banqueting. The main costs arising are payroll, cost of goods for resale, commissions paid on room sales, utilities, other operating costs, and, in the case of leased hotels, variable lease costs (where linked to turnover or profit) payable to lessors.</w:t>
      </w:r>
    </w:p>
    <w:p w14:paraId="5EA867E8" w14:textId="77777777" w:rsidR="0062640D" w:rsidRDefault="0062640D"/>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7813"/>
        <w:gridCol w:w="1133"/>
        <w:gridCol w:w="1133"/>
      </w:tblGrid>
      <w:tr w:rsidR="0062640D" w14:paraId="7CA8D510" w14:textId="77777777">
        <w:tc>
          <w:tcPr>
            <w:tcW w:w="7813" w:type="dxa"/>
            <w:tcBorders>
              <w:top w:val="nil"/>
              <w:left w:val="nil"/>
              <w:bottom w:val="single" w:sz="6" w:space="0" w:color="FF777C"/>
              <w:right w:val="nil"/>
            </w:tcBorders>
            <w:tcMar>
              <w:top w:w="45" w:type="dxa"/>
              <w:left w:w="0" w:type="dxa"/>
              <w:bottom w:w="56" w:type="dxa"/>
              <w:right w:w="0" w:type="dxa"/>
            </w:tcMar>
            <w:vAlign w:val="bottom"/>
          </w:tcPr>
          <w:p w14:paraId="7DA709CB" w14:textId="77777777" w:rsidR="0062640D" w:rsidRDefault="0062640D"/>
        </w:tc>
        <w:tc>
          <w:tcPr>
            <w:tcW w:w="1133" w:type="dxa"/>
            <w:tcBorders>
              <w:top w:val="nil"/>
              <w:left w:val="nil"/>
              <w:bottom w:val="single" w:sz="6" w:space="0" w:color="FF777C"/>
              <w:right w:val="nil"/>
            </w:tcBorders>
            <w:tcMar>
              <w:top w:w="45" w:type="dxa"/>
              <w:left w:w="0" w:type="dxa"/>
              <w:bottom w:w="56" w:type="dxa"/>
              <w:right w:w="0" w:type="dxa"/>
            </w:tcMar>
            <w:vAlign w:val="bottom"/>
          </w:tcPr>
          <w:p w14:paraId="0C2F9AC6" w14:textId="77777777" w:rsidR="0062640D" w:rsidRDefault="00C12A80">
            <w:pPr>
              <w:pStyle w:val="Table-Headings"/>
            </w:pPr>
            <w:r>
              <w:t>2024</w:t>
            </w:r>
          </w:p>
          <w:p w14:paraId="1951524F" w14:textId="77777777" w:rsidR="0062640D" w:rsidRDefault="00C12A80">
            <w:pPr>
              <w:pStyle w:val="Table-Headings"/>
            </w:pPr>
            <w:r>
              <w:t>€’000</w:t>
            </w:r>
          </w:p>
        </w:tc>
        <w:tc>
          <w:tcPr>
            <w:tcW w:w="1133" w:type="dxa"/>
            <w:tcBorders>
              <w:top w:val="nil"/>
              <w:left w:val="nil"/>
              <w:bottom w:val="single" w:sz="6" w:space="0" w:color="FF777C"/>
              <w:right w:val="nil"/>
            </w:tcBorders>
            <w:tcMar>
              <w:top w:w="56" w:type="dxa"/>
              <w:left w:w="0" w:type="dxa"/>
              <w:bottom w:w="56" w:type="dxa"/>
              <w:right w:w="0" w:type="dxa"/>
            </w:tcMar>
            <w:vAlign w:val="bottom"/>
          </w:tcPr>
          <w:p w14:paraId="5FCF52E6" w14:textId="77777777" w:rsidR="0062640D" w:rsidRDefault="00C12A80">
            <w:pPr>
              <w:pStyle w:val="Table-Headings"/>
            </w:pPr>
            <w:r>
              <w:t>2023</w:t>
            </w:r>
          </w:p>
          <w:p w14:paraId="2FAC3638" w14:textId="77777777" w:rsidR="0062640D" w:rsidRDefault="00C12A80">
            <w:pPr>
              <w:pStyle w:val="Table-Headings"/>
            </w:pPr>
            <w:r>
              <w:t>€’000</w:t>
            </w:r>
          </w:p>
        </w:tc>
      </w:tr>
      <w:tr w:rsidR="0062640D" w14:paraId="54C057C6" w14:textId="77777777">
        <w:tc>
          <w:tcPr>
            <w:tcW w:w="781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7402B507" w14:textId="77777777" w:rsidR="0062640D" w:rsidRDefault="00C12A80">
            <w:pPr>
              <w:pStyle w:val="Heading-2"/>
            </w:pPr>
            <w:r>
              <w:t>Revenue</w:t>
            </w:r>
          </w:p>
        </w:tc>
        <w:tc>
          <w:tcPr>
            <w:tcW w:w="113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26E7D53D" w14:textId="77777777" w:rsidR="0062640D" w:rsidRDefault="0062640D"/>
        </w:tc>
        <w:tc>
          <w:tcPr>
            <w:tcW w:w="113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26EC5D34" w14:textId="77777777" w:rsidR="0062640D" w:rsidRDefault="0062640D"/>
        </w:tc>
      </w:tr>
      <w:tr w:rsidR="0062640D" w14:paraId="445DA240" w14:textId="77777777">
        <w:tc>
          <w:tcPr>
            <w:tcW w:w="781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71F4367F" w14:textId="77777777" w:rsidR="0062640D" w:rsidRDefault="00C12A80">
            <w:r>
              <w:t>Dublin</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0DB91BC" w14:textId="77777777" w:rsidR="0062640D" w:rsidRDefault="00C12A80">
            <w:pPr>
              <w:pStyle w:val="AccountsBold"/>
            </w:pPr>
            <w:r>
              <w:t>283,793</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272ACD8" w14:textId="77777777" w:rsidR="0062640D" w:rsidRDefault="00C12A80">
            <w:pPr>
              <w:pStyle w:val="Accounts"/>
            </w:pPr>
            <w:r>
              <w:t>286,130</w:t>
            </w:r>
          </w:p>
        </w:tc>
      </w:tr>
      <w:tr w:rsidR="0062640D" w14:paraId="00558C58" w14:textId="77777777">
        <w:tc>
          <w:tcPr>
            <w:tcW w:w="781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57264B8A" w14:textId="77777777" w:rsidR="0062640D" w:rsidRDefault="00C12A80">
            <w:r>
              <w:t>Regional Ireland</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732CC240" w14:textId="77777777" w:rsidR="0062640D" w:rsidRDefault="00C12A80">
            <w:pPr>
              <w:pStyle w:val="AccountsBold"/>
            </w:pPr>
            <w:r>
              <w:t>110,474</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724F847" w14:textId="77777777" w:rsidR="0062640D" w:rsidRDefault="00C12A80">
            <w:pPr>
              <w:pStyle w:val="Accounts"/>
            </w:pPr>
            <w:r>
              <w:t>112,317</w:t>
            </w:r>
          </w:p>
        </w:tc>
      </w:tr>
      <w:tr w:rsidR="0062640D" w14:paraId="56E45B7F" w14:textId="77777777">
        <w:tc>
          <w:tcPr>
            <w:tcW w:w="7813"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6CF5C98F" w14:textId="77777777" w:rsidR="0062640D" w:rsidRDefault="00C12A80">
            <w:r>
              <w:t>UK</w:t>
            </w:r>
          </w:p>
        </w:tc>
        <w:tc>
          <w:tcPr>
            <w:tcW w:w="1133"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2C4258A1" w14:textId="77777777" w:rsidR="0062640D" w:rsidRDefault="00C12A80">
            <w:pPr>
              <w:pStyle w:val="AccountsBold"/>
            </w:pPr>
            <w:r>
              <w:t>220,813</w:t>
            </w:r>
          </w:p>
        </w:tc>
        <w:tc>
          <w:tcPr>
            <w:tcW w:w="1133"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084EECF0" w14:textId="77777777" w:rsidR="0062640D" w:rsidRDefault="00C12A80">
            <w:pPr>
              <w:pStyle w:val="Accounts"/>
            </w:pPr>
            <w:r>
              <w:t>186,292</w:t>
            </w:r>
          </w:p>
        </w:tc>
      </w:tr>
      <w:tr w:rsidR="0062640D" w14:paraId="34BD2B95" w14:textId="77777777">
        <w:tc>
          <w:tcPr>
            <w:tcW w:w="7813" w:type="dxa"/>
            <w:tcBorders>
              <w:top w:val="nil"/>
              <w:left w:val="nil"/>
              <w:bottom w:val="single" w:sz="2" w:space="0" w:color="FF777C"/>
              <w:right w:val="nil"/>
            </w:tcBorders>
            <w:tcMar>
              <w:top w:w="56" w:type="dxa"/>
              <w:left w:w="0" w:type="dxa"/>
              <w:bottom w:w="85" w:type="dxa"/>
              <w:right w:w="0" w:type="dxa"/>
            </w:tcMar>
            <w:vAlign w:val="bottom"/>
          </w:tcPr>
          <w:p w14:paraId="11970CB4" w14:textId="77777777" w:rsidR="0062640D" w:rsidRDefault="00C12A80">
            <w:r>
              <w:t>Continental Europe</w:t>
            </w:r>
          </w:p>
        </w:tc>
        <w:tc>
          <w:tcPr>
            <w:tcW w:w="1133" w:type="dxa"/>
            <w:tcBorders>
              <w:top w:val="nil"/>
              <w:left w:val="nil"/>
              <w:bottom w:val="single" w:sz="2" w:space="0" w:color="FF777C"/>
              <w:right w:val="nil"/>
            </w:tcBorders>
            <w:tcMar>
              <w:top w:w="56" w:type="dxa"/>
              <w:left w:w="0" w:type="dxa"/>
              <w:bottom w:w="85" w:type="dxa"/>
              <w:right w:w="0" w:type="dxa"/>
            </w:tcMar>
            <w:vAlign w:val="bottom"/>
          </w:tcPr>
          <w:p w14:paraId="6ACF08A4" w14:textId="77777777" w:rsidR="0062640D" w:rsidRDefault="00C12A80">
            <w:pPr>
              <w:pStyle w:val="AccountsBold"/>
            </w:pPr>
            <w:r>
              <w:t>37,110</w:t>
            </w:r>
          </w:p>
        </w:tc>
        <w:tc>
          <w:tcPr>
            <w:tcW w:w="1133" w:type="dxa"/>
            <w:tcBorders>
              <w:top w:val="nil"/>
              <w:left w:val="nil"/>
              <w:bottom w:val="single" w:sz="2" w:space="0" w:color="FF777C"/>
              <w:right w:val="nil"/>
            </w:tcBorders>
            <w:tcMar>
              <w:top w:w="56" w:type="dxa"/>
              <w:left w:w="0" w:type="dxa"/>
              <w:bottom w:w="85" w:type="dxa"/>
              <w:right w:w="0" w:type="dxa"/>
            </w:tcMar>
            <w:vAlign w:val="bottom"/>
          </w:tcPr>
          <w:p w14:paraId="238B5EB6" w14:textId="77777777" w:rsidR="0062640D" w:rsidRDefault="00C12A80">
            <w:pPr>
              <w:pStyle w:val="Accounts"/>
            </w:pPr>
            <w:r>
              <w:t>22,959</w:t>
            </w:r>
          </w:p>
        </w:tc>
      </w:tr>
      <w:tr w:rsidR="0062640D" w14:paraId="69F7DCD4" w14:textId="77777777">
        <w:tc>
          <w:tcPr>
            <w:tcW w:w="7813" w:type="dxa"/>
            <w:tcBorders>
              <w:top w:val="single" w:sz="2" w:space="0" w:color="FF777C"/>
              <w:left w:val="nil"/>
              <w:bottom w:val="single" w:sz="6" w:space="0" w:color="FF777C"/>
              <w:right w:val="nil"/>
            </w:tcBorders>
            <w:tcMar>
              <w:top w:w="56" w:type="dxa"/>
              <w:left w:w="0" w:type="dxa"/>
              <w:bottom w:w="85" w:type="dxa"/>
              <w:right w:w="0" w:type="dxa"/>
            </w:tcMar>
            <w:vAlign w:val="bottom"/>
          </w:tcPr>
          <w:p w14:paraId="583DC733" w14:textId="77777777" w:rsidR="0062640D" w:rsidRDefault="00C12A80">
            <w:pPr>
              <w:pStyle w:val="Heading-2"/>
            </w:pPr>
            <w:r>
              <w:t>Total revenue</w:t>
            </w:r>
          </w:p>
        </w:tc>
        <w:tc>
          <w:tcPr>
            <w:tcW w:w="1133" w:type="dxa"/>
            <w:tcBorders>
              <w:top w:val="single" w:sz="2" w:space="0" w:color="FF777C"/>
              <w:left w:val="nil"/>
              <w:bottom w:val="single" w:sz="6" w:space="0" w:color="FF777C"/>
              <w:right w:val="nil"/>
            </w:tcBorders>
            <w:tcMar>
              <w:top w:w="56" w:type="dxa"/>
              <w:left w:w="0" w:type="dxa"/>
              <w:bottom w:w="85" w:type="dxa"/>
              <w:right w:w="0" w:type="dxa"/>
            </w:tcMar>
            <w:vAlign w:val="bottom"/>
          </w:tcPr>
          <w:p w14:paraId="550FC1B9" w14:textId="77777777" w:rsidR="0062640D" w:rsidRDefault="00C12A80">
            <w:pPr>
              <w:pStyle w:val="AccountsBold"/>
            </w:pPr>
            <w:r>
              <w:t>652,190</w:t>
            </w:r>
          </w:p>
        </w:tc>
        <w:tc>
          <w:tcPr>
            <w:tcW w:w="1133" w:type="dxa"/>
            <w:tcBorders>
              <w:top w:val="single" w:sz="2" w:space="0" w:color="FF777C"/>
              <w:left w:val="nil"/>
              <w:bottom w:val="single" w:sz="6" w:space="0" w:color="FF777C"/>
              <w:right w:val="nil"/>
            </w:tcBorders>
            <w:tcMar>
              <w:top w:w="56" w:type="dxa"/>
              <w:left w:w="0" w:type="dxa"/>
              <w:bottom w:w="85" w:type="dxa"/>
              <w:right w:w="0" w:type="dxa"/>
            </w:tcMar>
            <w:vAlign w:val="bottom"/>
          </w:tcPr>
          <w:p w14:paraId="5887BA03" w14:textId="77777777" w:rsidR="0062640D" w:rsidRDefault="00C12A80">
            <w:pPr>
              <w:pStyle w:val="Accounts"/>
            </w:pPr>
            <w:r>
              <w:t>607,698</w:t>
            </w:r>
          </w:p>
        </w:tc>
      </w:tr>
    </w:tbl>
    <w:p w14:paraId="64DFA5C1" w14:textId="77777777" w:rsidR="0062640D" w:rsidRDefault="0062640D"/>
    <w:p w14:paraId="72E6B6CD" w14:textId="77777777" w:rsidR="0062640D" w:rsidRDefault="00C12A80">
      <w:r>
        <w:t>Segmental revenue for each of the geographical locations represents the operating revenue (room revenue, food and beverage revenue and other hotel revenue) from leased and owned hotels situated in the Group’s four reportable segments.</w:t>
      </w:r>
    </w:p>
    <w:p w14:paraId="58C0706C" w14:textId="77777777" w:rsidR="00565E9B" w:rsidRDefault="00565E9B"/>
    <w:p w14:paraId="2A827B13" w14:textId="681F77EF" w:rsidR="00565E9B" w:rsidRPr="006B0F6B" w:rsidRDefault="00565E9B" w:rsidP="00565E9B">
      <w:r w:rsidRPr="006B0F6B">
        <w:t>In November 2024, the Group disposed of Maldron Hotel, Wexford (</w:t>
      </w:r>
      <w:hyperlink w:anchor="note-13" w:history="1">
        <w:r w:rsidRPr="001D58A0">
          <w:rPr>
            <w:rStyle w:val="Hyperlink"/>
            <w:sz w:val="18"/>
          </w:rPr>
          <w:t>note 13</w:t>
        </w:r>
      </w:hyperlink>
      <w:r w:rsidRPr="006B0F6B">
        <w:t>) and contracts</w:t>
      </w:r>
      <w:r>
        <w:t xml:space="preserve"> were also exchanged</w:t>
      </w:r>
      <w:r w:rsidRPr="006B0F6B">
        <w:t xml:space="preserve"> for the sale of </w:t>
      </w:r>
      <w:r w:rsidR="008C2BDB">
        <w:t>Clayton Whites Hotel, Wexford</w:t>
      </w:r>
      <w:r w:rsidRPr="006B0F6B">
        <w:t>. This property was classified as held for sale at 31 December 2024 (</w:t>
      </w:r>
      <w:hyperlink w:anchor="note-18" w:history="1">
        <w:r w:rsidRPr="001D58A0">
          <w:rPr>
            <w:rStyle w:val="Hyperlink"/>
            <w:sz w:val="18"/>
          </w:rPr>
          <w:t>note 18</w:t>
        </w:r>
      </w:hyperlink>
      <w:r w:rsidRPr="006B0F6B">
        <w:t>). Both hotels form part of the Regional Ireland segment.</w:t>
      </w:r>
    </w:p>
    <w:p w14:paraId="17FFC093" w14:textId="77777777" w:rsidR="0062640D" w:rsidRDefault="0062640D"/>
    <w:p w14:paraId="498B82AC" w14:textId="77777777" w:rsidR="0062640D" w:rsidRDefault="00C12A80">
      <w:r>
        <w:t>The year ended 31 December 2024 saw the Group trade strongly and continue the execution of its growth strategy. The strong trade, the full year impact of hotels added during 2023 and the addition of four hotels during 2024 has led to an increase in Group revenue from hotel operations from €607.7 million to €652.2 million.</w:t>
      </w:r>
    </w:p>
    <w:p w14:paraId="0820CDF7" w14:textId="77777777" w:rsidR="0062640D" w:rsidRDefault="0062640D"/>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7823"/>
        <w:gridCol w:w="1133"/>
        <w:gridCol w:w="1133"/>
      </w:tblGrid>
      <w:tr w:rsidR="0062640D" w14:paraId="652AF0F0" w14:textId="77777777">
        <w:tc>
          <w:tcPr>
            <w:tcW w:w="7823" w:type="dxa"/>
            <w:tcBorders>
              <w:top w:val="nil"/>
              <w:left w:val="nil"/>
              <w:bottom w:val="single" w:sz="6" w:space="0" w:color="FF777C"/>
              <w:right w:val="nil"/>
            </w:tcBorders>
            <w:tcMar>
              <w:top w:w="45" w:type="dxa"/>
              <w:left w:w="0" w:type="dxa"/>
              <w:bottom w:w="56" w:type="dxa"/>
              <w:right w:w="0" w:type="dxa"/>
            </w:tcMar>
            <w:vAlign w:val="bottom"/>
          </w:tcPr>
          <w:p w14:paraId="6D8A2929" w14:textId="77777777" w:rsidR="0062640D" w:rsidRDefault="0062640D"/>
        </w:tc>
        <w:tc>
          <w:tcPr>
            <w:tcW w:w="1133" w:type="dxa"/>
            <w:tcBorders>
              <w:top w:val="nil"/>
              <w:left w:val="nil"/>
              <w:bottom w:val="single" w:sz="6" w:space="0" w:color="FF777C"/>
              <w:right w:val="nil"/>
            </w:tcBorders>
            <w:tcMar>
              <w:top w:w="45" w:type="dxa"/>
              <w:left w:w="0" w:type="dxa"/>
              <w:bottom w:w="56" w:type="dxa"/>
              <w:right w:w="0" w:type="dxa"/>
            </w:tcMar>
            <w:vAlign w:val="bottom"/>
          </w:tcPr>
          <w:p w14:paraId="6859FF15" w14:textId="77777777" w:rsidR="0062640D" w:rsidRDefault="00C12A80">
            <w:pPr>
              <w:pStyle w:val="Table-Headings"/>
            </w:pPr>
            <w:r>
              <w:t>2024</w:t>
            </w:r>
          </w:p>
          <w:p w14:paraId="5F9BA5C3" w14:textId="77777777" w:rsidR="0062640D" w:rsidRDefault="00C12A80">
            <w:pPr>
              <w:pStyle w:val="Table-Headings"/>
            </w:pPr>
            <w:r>
              <w:t>€’000</w:t>
            </w:r>
          </w:p>
        </w:tc>
        <w:tc>
          <w:tcPr>
            <w:tcW w:w="1133" w:type="dxa"/>
            <w:tcBorders>
              <w:top w:val="nil"/>
              <w:left w:val="nil"/>
              <w:bottom w:val="single" w:sz="6" w:space="0" w:color="FF777C"/>
              <w:right w:val="nil"/>
            </w:tcBorders>
            <w:tcMar>
              <w:top w:w="56" w:type="dxa"/>
              <w:left w:w="0" w:type="dxa"/>
              <w:bottom w:w="56" w:type="dxa"/>
              <w:right w:w="0" w:type="dxa"/>
            </w:tcMar>
            <w:vAlign w:val="bottom"/>
          </w:tcPr>
          <w:p w14:paraId="71332193" w14:textId="77777777" w:rsidR="0062640D" w:rsidRDefault="00C12A80">
            <w:pPr>
              <w:pStyle w:val="Table-Headings"/>
            </w:pPr>
            <w:r>
              <w:t>2023</w:t>
            </w:r>
          </w:p>
          <w:p w14:paraId="519BE848" w14:textId="77777777" w:rsidR="0062640D" w:rsidRDefault="00C12A80">
            <w:pPr>
              <w:pStyle w:val="Table-Headings"/>
            </w:pPr>
            <w:r>
              <w:t>€’000</w:t>
            </w:r>
          </w:p>
        </w:tc>
      </w:tr>
      <w:tr w:rsidR="0062640D" w14:paraId="1A2A193D" w14:textId="77777777">
        <w:tc>
          <w:tcPr>
            <w:tcW w:w="7823" w:type="dxa"/>
            <w:tcBorders>
              <w:top w:val="single" w:sz="6" w:space="0" w:color="FF777C"/>
              <w:left w:val="none" w:sz="8" w:space="0" w:color="auto"/>
              <w:bottom w:val="none" w:sz="8" w:space="0" w:color="auto"/>
              <w:right w:val="none" w:sz="8" w:space="0" w:color="auto"/>
            </w:tcBorders>
            <w:tcMar>
              <w:top w:w="56" w:type="dxa"/>
              <w:left w:w="0" w:type="dxa"/>
              <w:bottom w:w="68" w:type="dxa"/>
              <w:right w:w="0" w:type="dxa"/>
            </w:tcMar>
            <w:vAlign w:val="bottom"/>
          </w:tcPr>
          <w:p w14:paraId="3B6A1EC6" w14:textId="0C987E42" w:rsidR="0062640D" w:rsidRDefault="00585F2A">
            <w:pPr>
              <w:pStyle w:val="Heading-2"/>
            </w:pPr>
            <w:r>
              <w:t>Segmental results – EBITDAR (APM (iv))</w:t>
            </w:r>
          </w:p>
        </w:tc>
        <w:tc>
          <w:tcPr>
            <w:tcW w:w="1133" w:type="dxa"/>
            <w:tcBorders>
              <w:top w:val="single" w:sz="6" w:space="0" w:color="FF777C"/>
              <w:left w:val="none" w:sz="8" w:space="0" w:color="auto"/>
              <w:bottom w:val="none" w:sz="8" w:space="0" w:color="auto"/>
              <w:right w:val="none" w:sz="8" w:space="0" w:color="auto"/>
            </w:tcBorders>
            <w:tcMar>
              <w:top w:w="56" w:type="dxa"/>
              <w:left w:w="0" w:type="dxa"/>
              <w:bottom w:w="68" w:type="dxa"/>
              <w:right w:w="0" w:type="dxa"/>
            </w:tcMar>
            <w:vAlign w:val="bottom"/>
          </w:tcPr>
          <w:p w14:paraId="712B67DF" w14:textId="77777777" w:rsidR="0062640D" w:rsidRDefault="0062640D"/>
        </w:tc>
        <w:tc>
          <w:tcPr>
            <w:tcW w:w="113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293CBCF7" w14:textId="77777777" w:rsidR="0062640D" w:rsidRDefault="0062640D"/>
        </w:tc>
      </w:tr>
      <w:tr w:rsidR="0062640D" w14:paraId="79C29673"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68" w:type="dxa"/>
              <w:right w:w="0" w:type="dxa"/>
            </w:tcMar>
            <w:vAlign w:val="bottom"/>
          </w:tcPr>
          <w:p w14:paraId="5C16F3E7" w14:textId="77777777" w:rsidR="0062640D" w:rsidRDefault="00C12A80">
            <w:r>
              <w:t>Dublin</w:t>
            </w:r>
          </w:p>
        </w:tc>
        <w:tc>
          <w:tcPr>
            <w:tcW w:w="1133" w:type="dxa"/>
            <w:tcBorders>
              <w:top w:val="none" w:sz="8" w:space="0" w:color="auto"/>
              <w:left w:val="none" w:sz="8" w:space="0" w:color="auto"/>
              <w:bottom w:val="none" w:sz="8" w:space="0" w:color="auto"/>
              <w:right w:val="none" w:sz="8" w:space="0" w:color="auto"/>
            </w:tcBorders>
            <w:tcMar>
              <w:top w:w="56" w:type="dxa"/>
              <w:left w:w="0" w:type="dxa"/>
              <w:bottom w:w="68" w:type="dxa"/>
              <w:right w:w="0" w:type="dxa"/>
            </w:tcMar>
            <w:vAlign w:val="bottom"/>
          </w:tcPr>
          <w:p w14:paraId="7797CE57" w14:textId="77777777" w:rsidR="0062640D" w:rsidRDefault="00C12A80">
            <w:pPr>
              <w:pStyle w:val="AccountsBold"/>
            </w:pPr>
            <w:r>
              <w:t>132,308</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5D3CF40" w14:textId="77777777" w:rsidR="0062640D" w:rsidRDefault="00C12A80">
            <w:pPr>
              <w:pStyle w:val="Accounts"/>
            </w:pPr>
            <w:r>
              <w:t>135,883</w:t>
            </w:r>
          </w:p>
        </w:tc>
      </w:tr>
      <w:tr w:rsidR="0062640D" w14:paraId="58486951"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68" w:type="dxa"/>
              <w:right w:w="0" w:type="dxa"/>
            </w:tcMar>
            <w:vAlign w:val="bottom"/>
          </w:tcPr>
          <w:p w14:paraId="3912AF91" w14:textId="77777777" w:rsidR="0062640D" w:rsidRDefault="00C12A80">
            <w:r>
              <w:t>Regional Ireland</w:t>
            </w:r>
          </w:p>
        </w:tc>
        <w:tc>
          <w:tcPr>
            <w:tcW w:w="1133" w:type="dxa"/>
            <w:tcBorders>
              <w:top w:val="none" w:sz="8" w:space="0" w:color="auto"/>
              <w:left w:val="none" w:sz="8" w:space="0" w:color="auto"/>
              <w:bottom w:val="none" w:sz="8" w:space="0" w:color="auto"/>
              <w:right w:val="none" w:sz="8" w:space="0" w:color="auto"/>
            </w:tcBorders>
            <w:tcMar>
              <w:top w:w="56" w:type="dxa"/>
              <w:left w:w="0" w:type="dxa"/>
              <w:bottom w:w="68" w:type="dxa"/>
              <w:right w:w="0" w:type="dxa"/>
            </w:tcMar>
            <w:vAlign w:val="bottom"/>
          </w:tcPr>
          <w:p w14:paraId="1CE615D6" w14:textId="77777777" w:rsidR="0062640D" w:rsidRDefault="00C12A80">
            <w:pPr>
              <w:pStyle w:val="AccountsBold"/>
            </w:pPr>
            <w:r>
              <w:t>34,990</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1E06325" w14:textId="77777777" w:rsidR="0062640D" w:rsidRDefault="00C12A80">
            <w:pPr>
              <w:pStyle w:val="Accounts"/>
            </w:pPr>
            <w:r>
              <w:t>37,018</w:t>
            </w:r>
          </w:p>
        </w:tc>
      </w:tr>
      <w:tr w:rsidR="0062640D" w14:paraId="3EDDDF8E"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68" w:type="dxa"/>
              <w:right w:w="0" w:type="dxa"/>
            </w:tcMar>
            <w:vAlign w:val="bottom"/>
          </w:tcPr>
          <w:p w14:paraId="6CFD3153" w14:textId="77777777" w:rsidR="0062640D" w:rsidRDefault="00C12A80">
            <w:r>
              <w:t>UK</w:t>
            </w:r>
          </w:p>
        </w:tc>
        <w:tc>
          <w:tcPr>
            <w:tcW w:w="1133" w:type="dxa"/>
            <w:tcBorders>
              <w:top w:val="none" w:sz="8" w:space="0" w:color="auto"/>
              <w:left w:val="none" w:sz="8" w:space="0" w:color="auto"/>
              <w:bottom w:val="none" w:sz="8" w:space="0" w:color="auto"/>
              <w:right w:val="none" w:sz="8" w:space="0" w:color="auto"/>
            </w:tcBorders>
            <w:tcMar>
              <w:top w:w="56" w:type="dxa"/>
              <w:left w:w="0" w:type="dxa"/>
              <w:bottom w:w="68" w:type="dxa"/>
              <w:right w:w="0" w:type="dxa"/>
            </w:tcMar>
            <w:vAlign w:val="bottom"/>
          </w:tcPr>
          <w:p w14:paraId="485A2261" w14:textId="77777777" w:rsidR="0062640D" w:rsidRDefault="00C12A80">
            <w:pPr>
              <w:pStyle w:val="AccountsBold"/>
            </w:pPr>
            <w:r>
              <w:t>80,965</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4E5CC5D" w14:textId="77777777" w:rsidR="0062640D" w:rsidRDefault="00C12A80">
            <w:pPr>
              <w:pStyle w:val="Accounts"/>
            </w:pPr>
            <w:r>
              <w:t>71,658</w:t>
            </w:r>
          </w:p>
        </w:tc>
      </w:tr>
      <w:tr w:rsidR="0062640D" w14:paraId="25FC0170" w14:textId="77777777">
        <w:tc>
          <w:tcPr>
            <w:tcW w:w="7823" w:type="dxa"/>
            <w:tcBorders>
              <w:top w:val="none" w:sz="8" w:space="0" w:color="auto"/>
              <w:left w:val="none" w:sz="8" w:space="0" w:color="auto"/>
              <w:bottom w:val="single" w:sz="2" w:space="0" w:color="FF777C"/>
              <w:right w:val="none" w:sz="8" w:space="0" w:color="auto"/>
            </w:tcBorders>
            <w:tcMar>
              <w:top w:w="56" w:type="dxa"/>
              <w:left w:w="0" w:type="dxa"/>
              <w:bottom w:w="68" w:type="dxa"/>
              <w:right w:w="0" w:type="dxa"/>
            </w:tcMar>
            <w:vAlign w:val="bottom"/>
          </w:tcPr>
          <w:p w14:paraId="60D62745" w14:textId="77777777" w:rsidR="0062640D" w:rsidRDefault="00C12A80">
            <w:r>
              <w:t>Continental Europe</w:t>
            </w:r>
          </w:p>
        </w:tc>
        <w:tc>
          <w:tcPr>
            <w:tcW w:w="1133" w:type="dxa"/>
            <w:tcBorders>
              <w:top w:val="none" w:sz="8" w:space="0" w:color="auto"/>
              <w:left w:val="none" w:sz="8" w:space="0" w:color="auto"/>
              <w:bottom w:val="single" w:sz="2" w:space="0" w:color="FF777C"/>
              <w:right w:val="none" w:sz="8" w:space="0" w:color="auto"/>
            </w:tcBorders>
            <w:tcMar>
              <w:top w:w="56" w:type="dxa"/>
              <w:left w:w="0" w:type="dxa"/>
              <w:bottom w:w="68" w:type="dxa"/>
              <w:right w:w="0" w:type="dxa"/>
            </w:tcMar>
            <w:vAlign w:val="bottom"/>
          </w:tcPr>
          <w:p w14:paraId="12AD765C" w14:textId="77777777" w:rsidR="0062640D" w:rsidRDefault="00C12A80">
            <w:pPr>
              <w:pStyle w:val="AccountsBold"/>
            </w:pPr>
            <w:r>
              <w:t>11,274</w:t>
            </w:r>
          </w:p>
        </w:tc>
        <w:tc>
          <w:tcPr>
            <w:tcW w:w="113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23A2574E" w14:textId="77777777" w:rsidR="0062640D" w:rsidRDefault="00C12A80">
            <w:pPr>
              <w:pStyle w:val="Accounts"/>
            </w:pPr>
            <w:r>
              <w:t>7,707</w:t>
            </w:r>
          </w:p>
        </w:tc>
      </w:tr>
      <w:tr w:rsidR="0062640D" w14:paraId="30927880" w14:textId="77777777">
        <w:tc>
          <w:tcPr>
            <w:tcW w:w="7823" w:type="dxa"/>
            <w:tcBorders>
              <w:top w:val="single" w:sz="2" w:space="0" w:color="FF777C"/>
              <w:left w:val="none" w:sz="8" w:space="0" w:color="auto"/>
              <w:bottom w:val="single" w:sz="6" w:space="0" w:color="FF777C"/>
              <w:right w:val="none" w:sz="8" w:space="0" w:color="auto"/>
            </w:tcBorders>
            <w:tcMar>
              <w:top w:w="56" w:type="dxa"/>
              <w:left w:w="0" w:type="dxa"/>
              <w:bottom w:w="68" w:type="dxa"/>
              <w:right w:w="0" w:type="dxa"/>
            </w:tcMar>
            <w:vAlign w:val="bottom"/>
          </w:tcPr>
          <w:p w14:paraId="4FCFDEB5" w14:textId="77777777" w:rsidR="0062640D" w:rsidRDefault="00C12A80">
            <w:pPr>
              <w:pStyle w:val="Heading-2"/>
            </w:pPr>
            <w:r>
              <w:t>EBITDAR for reportable segments</w:t>
            </w:r>
          </w:p>
        </w:tc>
        <w:tc>
          <w:tcPr>
            <w:tcW w:w="1133" w:type="dxa"/>
            <w:tcBorders>
              <w:top w:val="single" w:sz="2" w:space="0" w:color="FF777C"/>
              <w:left w:val="none" w:sz="8" w:space="0" w:color="auto"/>
              <w:bottom w:val="single" w:sz="6" w:space="0" w:color="FF777C"/>
              <w:right w:val="none" w:sz="8" w:space="0" w:color="auto"/>
            </w:tcBorders>
            <w:tcMar>
              <w:top w:w="56" w:type="dxa"/>
              <w:left w:w="0" w:type="dxa"/>
              <w:bottom w:w="68" w:type="dxa"/>
              <w:right w:w="0" w:type="dxa"/>
            </w:tcMar>
            <w:vAlign w:val="bottom"/>
          </w:tcPr>
          <w:p w14:paraId="749FA85B" w14:textId="77777777" w:rsidR="0062640D" w:rsidRDefault="00C12A80">
            <w:pPr>
              <w:pStyle w:val="AccountsBold"/>
            </w:pPr>
            <w:r>
              <w:t>259,537</w:t>
            </w:r>
          </w:p>
        </w:tc>
        <w:tc>
          <w:tcPr>
            <w:tcW w:w="113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2C0AACC3" w14:textId="77777777" w:rsidR="0062640D" w:rsidRDefault="00C12A80">
            <w:pPr>
              <w:pStyle w:val="Accounts"/>
            </w:pPr>
            <w:r>
              <w:t>252,266</w:t>
            </w:r>
          </w:p>
        </w:tc>
      </w:tr>
      <w:tr w:rsidR="0062640D" w14:paraId="122CA767" w14:textId="77777777">
        <w:tc>
          <w:tcPr>
            <w:tcW w:w="7823" w:type="dxa"/>
            <w:tcBorders>
              <w:top w:val="single" w:sz="6" w:space="0" w:color="FF777C"/>
              <w:left w:val="none" w:sz="8" w:space="0" w:color="auto"/>
              <w:bottom w:val="none" w:sz="8" w:space="0" w:color="auto"/>
              <w:right w:val="none" w:sz="8" w:space="0" w:color="auto"/>
            </w:tcBorders>
            <w:tcMar>
              <w:top w:w="56" w:type="dxa"/>
              <w:left w:w="0" w:type="dxa"/>
              <w:bottom w:w="68" w:type="dxa"/>
              <w:right w:w="0" w:type="dxa"/>
            </w:tcMar>
            <w:vAlign w:val="bottom"/>
          </w:tcPr>
          <w:p w14:paraId="7E25A129" w14:textId="77777777" w:rsidR="0062640D" w:rsidRDefault="0062640D"/>
        </w:tc>
        <w:tc>
          <w:tcPr>
            <w:tcW w:w="1133" w:type="dxa"/>
            <w:tcBorders>
              <w:top w:val="single" w:sz="6" w:space="0" w:color="FF777C"/>
              <w:left w:val="none" w:sz="8" w:space="0" w:color="auto"/>
              <w:bottom w:val="none" w:sz="8" w:space="0" w:color="auto"/>
              <w:right w:val="none" w:sz="8" w:space="0" w:color="auto"/>
            </w:tcBorders>
            <w:tcMar>
              <w:top w:w="56" w:type="dxa"/>
              <w:left w:w="0" w:type="dxa"/>
              <w:bottom w:w="68" w:type="dxa"/>
              <w:right w:w="0" w:type="dxa"/>
            </w:tcMar>
            <w:vAlign w:val="bottom"/>
          </w:tcPr>
          <w:p w14:paraId="04A499DC" w14:textId="77777777" w:rsidR="0062640D" w:rsidRDefault="0062640D"/>
        </w:tc>
        <w:tc>
          <w:tcPr>
            <w:tcW w:w="113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39AF390E" w14:textId="77777777" w:rsidR="0062640D" w:rsidRDefault="0062640D"/>
        </w:tc>
      </w:tr>
      <w:tr w:rsidR="0062640D" w14:paraId="6C13DEAD"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68" w:type="dxa"/>
              <w:right w:w="0" w:type="dxa"/>
            </w:tcMar>
            <w:vAlign w:val="bottom"/>
          </w:tcPr>
          <w:p w14:paraId="561EE1AC" w14:textId="77777777" w:rsidR="0062640D" w:rsidRDefault="00C12A80">
            <w:pPr>
              <w:pStyle w:val="Heading-2"/>
            </w:pPr>
            <w:r>
              <w:t>Segmental results – EBITDA</w:t>
            </w:r>
          </w:p>
        </w:tc>
        <w:tc>
          <w:tcPr>
            <w:tcW w:w="1133" w:type="dxa"/>
            <w:tcBorders>
              <w:top w:val="none" w:sz="8" w:space="0" w:color="auto"/>
              <w:left w:val="none" w:sz="8" w:space="0" w:color="auto"/>
              <w:bottom w:val="none" w:sz="8" w:space="0" w:color="auto"/>
              <w:right w:val="none" w:sz="8" w:space="0" w:color="auto"/>
            </w:tcBorders>
            <w:tcMar>
              <w:top w:w="56" w:type="dxa"/>
              <w:left w:w="0" w:type="dxa"/>
              <w:bottom w:w="68" w:type="dxa"/>
              <w:right w:w="0" w:type="dxa"/>
            </w:tcMar>
            <w:vAlign w:val="bottom"/>
          </w:tcPr>
          <w:p w14:paraId="79C479B8" w14:textId="77777777" w:rsidR="0062640D" w:rsidRDefault="0062640D"/>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017E79D0" w14:textId="77777777" w:rsidR="0062640D" w:rsidRDefault="0062640D"/>
        </w:tc>
      </w:tr>
      <w:tr w:rsidR="0062640D" w14:paraId="50A79A6C"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68" w:type="dxa"/>
              <w:right w:w="0" w:type="dxa"/>
            </w:tcMar>
            <w:vAlign w:val="bottom"/>
          </w:tcPr>
          <w:p w14:paraId="515282F1" w14:textId="77777777" w:rsidR="0062640D" w:rsidRDefault="00C12A80">
            <w:r>
              <w:t>Dublin</w:t>
            </w:r>
          </w:p>
        </w:tc>
        <w:tc>
          <w:tcPr>
            <w:tcW w:w="1133" w:type="dxa"/>
            <w:tcBorders>
              <w:top w:val="none" w:sz="8" w:space="0" w:color="auto"/>
              <w:left w:val="none" w:sz="8" w:space="0" w:color="auto"/>
              <w:bottom w:val="none" w:sz="8" w:space="0" w:color="auto"/>
              <w:right w:val="none" w:sz="8" w:space="0" w:color="auto"/>
            </w:tcBorders>
            <w:tcMar>
              <w:top w:w="56" w:type="dxa"/>
              <w:left w:w="0" w:type="dxa"/>
              <w:bottom w:w="68" w:type="dxa"/>
              <w:right w:w="0" w:type="dxa"/>
            </w:tcMar>
            <w:vAlign w:val="bottom"/>
          </w:tcPr>
          <w:p w14:paraId="657632BD" w14:textId="77777777" w:rsidR="0062640D" w:rsidRDefault="00C12A80">
            <w:pPr>
              <w:pStyle w:val="AccountsBold"/>
            </w:pPr>
            <w:r>
              <w:t>130,233</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028558AD" w14:textId="77777777" w:rsidR="0062640D" w:rsidRDefault="00C12A80">
            <w:pPr>
              <w:pStyle w:val="Accounts"/>
            </w:pPr>
            <w:r>
              <w:t>133,750</w:t>
            </w:r>
          </w:p>
        </w:tc>
      </w:tr>
      <w:tr w:rsidR="0062640D" w14:paraId="5B599A39"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68" w:type="dxa"/>
              <w:right w:w="0" w:type="dxa"/>
            </w:tcMar>
            <w:vAlign w:val="bottom"/>
          </w:tcPr>
          <w:p w14:paraId="48DBF635" w14:textId="77777777" w:rsidR="0062640D" w:rsidRDefault="00C12A80">
            <w:r>
              <w:t>Regional Ireland</w:t>
            </w:r>
          </w:p>
        </w:tc>
        <w:tc>
          <w:tcPr>
            <w:tcW w:w="1133" w:type="dxa"/>
            <w:tcBorders>
              <w:top w:val="none" w:sz="8" w:space="0" w:color="auto"/>
              <w:left w:val="none" w:sz="8" w:space="0" w:color="auto"/>
              <w:bottom w:val="none" w:sz="8" w:space="0" w:color="auto"/>
              <w:right w:val="none" w:sz="8" w:space="0" w:color="auto"/>
            </w:tcBorders>
            <w:tcMar>
              <w:top w:w="56" w:type="dxa"/>
              <w:left w:w="0" w:type="dxa"/>
              <w:bottom w:w="68" w:type="dxa"/>
              <w:right w:w="0" w:type="dxa"/>
            </w:tcMar>
            <w:vAlign w:val="bottom"/>
          </w:tcPr>
          <w:p w14:paraId="398118FC" w14:textId="77777777" w:rsidR="0062640D" w:rsidRDefault="00C12A80">
            <w:pPr>
              <w:pStyle w:val="AccountsBold"/>
            </w:pPr>
            <w:r>
              <w:t>34,856</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28A84B33" w14:textId="77777777" w:rsidR="0062640D" w:rsidRDefault="00C12A80">
            <w:pPr>
              <w:pStyle w:val="Accounts"/>
            </w:pPr>
            <w:r>
              <w:t>36,889</w:t>
            </w:r>
          </w:p>
        </w:tc>
      </w:tr>
      <w:tr w:rsidR="0062640D" w14:paraId="55DE2A61"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68" w:type="dxa"/>
              <w:right w:w="0" w:type="dxa"/>
            </w:tcMar>
            <w:vAlign w:val="bottom"/>
          </w:tcPr>
          <w:p w14:paraId="177E6D7A" w14:textId="77777777" w:rsidR="0062640D" w:rsidRDefault="00C12A80">
            <w:r>
              <w:t>UK</w:t>
            </w:r>
          </w:p>
        </w:tc>
        <w:tc>
          <w:tcPr>
            <w:tcW w:w="1133" w:type="dxa"/>
            <w:tcBorders>
              <w:top w:val="none" w:sz="8" w:space="0" w:color="auto"/>
              <w:left w:val="none" w:sz="8" w:space="0" w:color="auto"/>
              <w:bottom w:val="none" w:sz="8" w:space="0" w:color="auto"/>
              <w:right w:val="none" w:sz="8" w:space="0" w:color="auto"/>
            </w:tcBorders>
            <w:tcMar>
              <w:top w:w="56" w:type="dxa"/>
              <w:left w:w="0" w:type="dxa"/>
              <w:bottom w:w="68" w:type="dxa"/>
              <w:right w:w="0" w:type="dxa"/>
            </w:tcMar>
            <w:vAlign w:val="bottom"/>
          </w:tcPr>
          <w:p w14:paraId="683AA2F5" w14:textId="77777777" w:rsidR="0062640D" w:rsidRDefault="00C12A80">
            <w:pPr>
              <w:pStyle w:val="AccountsBold"/>
            </w:pPr>
            <w:r>
              <w:t>80,627</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2C8A6F57" w14:textId="77777777" w:rsidR="0062640D" w:rsidRDefault="00C12A80">
            <w:pPr>
              <w:pStyle w:val="Accounts"/>
            </w:pPr>
            <w:r>
              <w:t>71,082</w:t>
            </w:r>
          </w:p>
        </w:tc>
      </w:tr>
      <w:tr w:rsidR="0062640D" w14:paraId="2EBF2D5C" w14:textId="77777777">
        <w:tc>
          <w:tcPr>
            <w:tcW w:w="7823" w:type="dxa"/>
            <w:tcBorders>
              <w:top w:val="none" w:sz="8" w:space="0" w:color="auto"/>
              <w:left w:val="none" w:sz="8" w:space="0" w:color="auto"/>
              <w:bottom w:val="single" w:sz="2" w:space="0" w:color="FF777C"/>
              <w:right w:val="none" w:sz="8" w:space="0" w:color="auto"/>
            </w:tcBorders>
            <w:tcMar>
              <w:top w:w="56" w:type="dxa"/>
              <w:left w:w="0" w:type="dxa"/>
              <w:bottom w:w="68" w:type="dxa"/>
              <w:right w:w="0" w:type="dxa"/>
            </w:tcMar>
            <w:vAlign w:val="bottom"/>
          </w:tcPr>
          <w:p w14:paraId="470CB9E8" w14:textId="77777777" w:rsidR="0062640D" w:rsidRDefault="00C12A80">
            <w:r>
              <w:t>Continental Europe</w:t>
            </w:r>
          </w:p>
        </w:tc>
        <w:tc>
          <w:tcPr>
            <w:tcW w:w="1133" w:type="dxa"/>
            <w:tcBorders>
              <w:top w:val="none" w:sz="8" w:space="0" w:color="auto"/>
              <w:left w:val="none" w:sz="8" w:space="0" w:color="auto"/>
              <w:bottom w:val="single" w:sz="2" w:space="0" w:color="FF777C"/>
              <w:right w:val="none" w:sz="8" w:space="0" w:color="auto"/>
            </w:tcBorders>
            <w:tcMar>
              <w:top w:w="56" w:type="dxa"/>
              <w:left w:w="0" w:type="dxa"/>
              <w:bottom w:w="68" w:type="dxa"/>
              <w:right w:w="0" w:type="dxa"/>
            </w:tcMar>
            <w:vAlign w:val="bottom"/>
          </w:tcPr>
          <w:p w14:paraId="4E44DDFC" w14:textId="77777777" w:rsidR="0062640D" w:rsidRDefault="00C12A80">
            <w:pPr>
              <w:pStyle w:val="AccountsBold"/>
            </w:pPr>
            <w:r>
              <w:t>11,177</w:t>
            </w:r>
          </w:p>
        </w:tc>
        <w:tc>
          <w:tcPr>
            <w:tcW w:w="113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4304EB2E" w14:textId="77777777" w:rsidR="0062640D" w:rsidRDefault="00C12A80">
            <w:pPr>
              <w:pStyle w:val="Accounts"/>
            </w:pPr>
            <w:r>
              <w:t>6,915</w:t>
            </w:r>
          </w:p>
        </w:tc>
      </w:tr>
      <w:tr w:rsidR="0062640D" w14:paraId="55F0ACAB" w14:textId="77777777">
        <w:tc>
          <w:tcPr>
            <w:tcW w:w="7823" w:type="dxa"/>
            <w:tcBorders>
              <w:top w:val="single" w:sz="2" w:space="0" w:color="FF777C"/>
              <w:left w:val="none" w:sz="8" w:space="0" w:color="auto"/>
              <w:bottom w:val="single" w:sz="6" w:space="0" w:color="FF777C"/>
              <w:right w:val="none" w:sz="8" w:space="0" w:color="auto"/>
            </w:tcBorders>
            <w:tcMar>
              <w:top w:w="56" w:type="dxa"/>
              <w:left w:w="0" w:type="dxa"/>
              <w:bottom w:w="68" w:type="dxa"/>
              <w:right w:w="0" w:type="dxa"/>
            </w:tcMar>
            <w:vAlign w:val="bottom"/>
          </w:tcPr>
          <w:p w14:paraId="773C009B" w14:textId="77777777" w:rsidR="0062640D" w:rsidRDefault="00C12A80">
            <w:pPr>
              <w:pStyle w:val="Heading-2"/>
            </w:pPr>
            <w:r>
              <w:t>EBITDA for reportable segments</w:t>
            </w:r>
          </w:p>
        </w:tc>
        <w:tc>
          <w:tcPr>
            <w:tcW w:w="1133" w:type="dxa"/>
            <w:tcBorders>
              <w:top w:val="single" w:sz="2" w:space="0" w:color="FF777C"/>
              <w:left w:val="none" w:sz="8" w:space="0" w:color="auto"/>
              <w:bottom w:val="single" w:sz="6" w:space="0" w:color="FF777C"/>
              <w:right w:val="none" w:sz="8" w:space="0" w:color="auto"/>
            </w:tcBorders>
            <w:tcMar>
              <w:top w:w="56" w:type="dxa"/>
              <w:left w:w="0" w:type="dxa"/>
              <w:bottom w:w="68" w:type="dxa"/>
              <w:right w:w="0" w:type="dxa"/>
            </w:tcMar>
            <w:vAlign w:val="bottom"/>
          </w:tcPr>
          <w:p w14:paraId="53F02083" w14:textId="77777777" w:rsidR="0062640D" w:rsidRDefault="00C12A80">
            <w:pPr>
              <w:pStyle w:val="AccountsBold"/>
            </w:pPr>
            <w:r>
              <w:t>256,893</w:t>
            </w:r>
          </w:p>
        </w:tc>
        <w:tc>
          <w:tcPr>
            <w:tcW w:w="113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3E1C1223" w14:textId="77777777" w:rsidR="0062640D" w:rsidRDefault="00C12A80">
            <w:pPr>
              <w:pStyle w:val="Accounts"/>
            </w:pPr>
            <w:r>
              <w:t>248,636</w:t>
            </w:r>
          </w:p>
        </w:tc>
      </w:tr>
      <w:tr w:rsidR="0062640D" w14:paraId="02C1B972" w14:textId="77777777">
        <w:tc>
          <w:tcPr>
            <w:tcW w:w="7823" w:type="dxa"/>
            <w:tcBorders>
              <w:top w:val="single" w:sz="6" w:space="0" w:color="FF777C"/>
              <w:left w:val="none" w:sz="8" w:space="0" w:color="auto"/>
              <w:bottom w:val="none" w:sz="8" w:space="0" w:color="auto"/>
              <w:right w:val="none" w:sz="8" w:space="0" w:color="auto"/>
            </w:tcBorders>
            <w:tcMar>
              <w:top w:w="56" w:type="dxa"/>
              <w:left w:w="0" w:type="dxa"/>
              <w:bottom w:w="68" w:type="dxa"/>
              <w:right w:w="0" w:type="dxa"/>
            </w:tcMar>
            <w:vAlign w:val="bottom"/>
          </w:tcPr>
          <w:p w14:paraId="0D1D01CD" w14:textId="77777777" w:rsidR="0062640D" w:rsidRDefault="0062640D"/>
        </w:tc>
        <w:tc>
          <w:tcPr>
            <w:tcW w:w="1133" w:type="dxa"/>
            <w:tcBorders>
              <w:top w:val="single" w:sz="6" w:space="0" w:color="FF777C"/>
              <w:left w:val="none" w:sz="8" w:space="0" w:color="auto"/>
              <w:bottom w:val="none" w:sz="8" w:space="0" w:color="auto"/>
              <w:right w:val="none" w:sz="8" w:space="0" w:color="auto"/>
            </w:tcBorders>
            <w:tcMar>
              <w:top w:w="56" w:type="dxa"/>
              <w:left w:w="0" w:type="dxa"/>
              <w:bottom w:w="68" w:type="dxa"/>
              <w:right w:w="0" w:type="dxa"/>
            </w:tcMar>
            <w:vAlign w:val="bottom"/>
          </w:tcPr>
          <w:p w14:paraId="2CDADB9B" w14:textId="77777777" w:rsidR="0062640D" w:rsidRDefault="0062640D"/>
        </w:tc>
        <w:tc>
          <w:tcPr>
            <w:tcW w:w="113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6327A3BF" w14:textId="77777777" w:rsidR="0062640D" w:rsidRDefault="0062640D"/>
        </w:tc>
      </w:tr>
      <w:tr w:rsidR="0062640D" w14:paraId="155676BC"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68" w:type="dxa"/>
              <w:right w:w="0" w:type="dxa"/>
            </w:tcMar>
            <w:vAlign w:val="bottom"/>
          </w:tcPr>
          <w:p w14:paraId="5CF402D5" w14:textId="77777777" w:rsidR="0062640D" w:rsidRDefault="00C12A80">
            <w:pPr>
              <w:pStyle w:val="Heading-2"/>
            </w:pPr>
            <w:r>
              <w:t>Reconciliation to results for the year</w:t>
            </w:r>
          </w:p>
        </w:tc>
        <w:tc>
          <w:tcPr>
            <w:tcW w:w="1133" w:type="dxa"/>
            <w:tcBorders>
              <w:top w:val="none" w:sz="8" w:space="0" w:color="auto"/>
              <w:left w:val="none" w:sz="8" w:space="0" w:color="auto"/>
              <w:bottom w:val="none" w:sz="8" w:space="0" w:color="auto"/>
              <w:right w:val="none" w:sz="8" w:space="0" w:color="auto"/>
            </w:tcBorders>
            <w:tcMar>
              <w:top w:w="56" w:type="dxa"/>
              <w:left w:w="0" w:type="dxa"/>
              <w:bottom w:w="68" w:type="dxa"/>
              <w:right w:w="0" w:type="dxa"/>
            </w:tcMar>
            <w:vAlign w:val="bottom"/>
          </w:tcPr>
          <w:p w14:paraId="181D9CF8" w14:textId="77777777" w:rsidR="0062640D" w:rsidRDefault="0062640D"/>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31B9CAD" w14:textId="77777777" w:rsidR="0062640D" w:rsidRDefault="0062640D"/>
        </w:tc>
      </w:tr>
      <w:tr w:rsidR="0062640D" w14:paraId="67FA2E4F"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68" w:type="dxa"/>
              <w:right w:w="0" w:type="dxa"/>
            </w:tcMar>
            <w:vAlign w:val="bottom"/>
          </w:tcPr>
          <w:p w14:paraId="3115D4A1" w14:textId="77777777" w:rsidR="0062640D" w:rsidRDefault="00C12A80">
            <w:r>
              <w:t>Segmental results – EBITDA</w:t>
            </w:r>
          </w:p>
        </w:tc>
        <w:tc>
          <w:tcPr>
            <w:tcW w:w="1133" w:type="dxa"/>
            <w:tcBorders>
              <w:top w:val="none" w:sz="8" w:space="0" w:color="auto"/>
              <w:left w:val="none" w:sz="8" w:space="0" w:color="auto"/>
              <w:bottom w:val="none" w:sz="8" w:space="0" w:color="auto"/>
              <w:right w:val="none" w:sz="8" w:space="0" w:color="auto"/>
            </w:tcBorders>
            <w:tcMar>
              <w:top w:w="56" w:type="dxa"/>
              <w:left w:w="0" w:type="dxa"/>
              <w:bottom w:w="68" w:type="dxa"/>
              <w:right w:w="0" w:type="dxa"/>
            </w:tcMar>
            <w:vAlign w:val="bottom"/>
          </w:tcPr>
          <w:p w14:paraId="2D8ADF29" w14:textId="77777777" w:rsidR="0062640D" w:rsidRDefault="00C12A80">
            <w:pPr>
              <w:pStyle w:val="AccountsBold"/>
            </w:pPr>
            <w:r>
              <w:t>256,893</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39FE3FD" w14:textId="77777777" w:rsidR="0062640D" w:rsidRDefault="00C12A80">
            <w:pPr>
              <w:pStyle w:val="Accounts"/>
            </w:pPr>
            <w:r>
              <w:t>248,636</w:t>
            </w:r>
          </w:p>
        </w:tc>
      </w:tr>
      <w:tr w:rsidR="0062640D" w14:paraId="1CF5DE32"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68" w:type="dxa"/>
              <w:right w:w="0" w:type="dxa"/>
            </w:tcMar>
            <w:vAlign w:val="bottom"/>
          </w:tcPr>
          <w:p w14:paraId="03CF7EE5" w14:textId="47CFF429" w:rsidR="0062640D" w:rsidRDefault="00C12A80">
            <w:r>
              <w:t>Other income</w:t>
            </w:r>
          </w:p>
        </w:tc>
        <w:tc>
          <w:tcPr>
            <w:tcW w:w="1133" w:type="dxa"/>
            <w:tcBorders>
              <w:top w:val="none" w:sz="8" w:space="0" w:color="auto"/>
              <w:left w:val="none" w:sz="8" w:space="0" w:color="auto"/>
              <w:bottom w:val="none" w:sz="8" w:space="0" w:color="auto"/>
              <w:right w:val="none" w:sz="8" w:space="0" w:color="auto"/>
            </w:tcBorders>
            <w:tcMar>
              <w:top w:w="56" w:type="dxa"/>
              <w:left w:w="0" w:type="dxa"/>
              <w:bottom w:w="68" w:type="dxa"/>
              <w:right w:w="0" w:type="dxa"/>
            </w:tcMar>
            <w:vAlign w:val="bottom"/>
          </w:tcPr>
          <w:p w14:paraId="4A43C3C6" w14:textId="77777777" w:rsidR="0062640D" w:rsidRDefault="00C12A80">
            <w:pPr>
              <w:pStyle w:val="AccountsBold"/>
            </w:pPr>
            <w:r>
              <w:t>1,447</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24BA5FB1" w14:textId="77777777" w:rsidR="0062640D" w:rsidRDefault="00C12A80">
            <w:pPr>
              <w:pStyle w:val="Accounts"/>
            </w:pPr>
            <w:r>
              <w:t>1,484</w:t>
            </w:r>
          </w:p>
        </w:tc>
      </w:tr>
      <w:tr w:rsidR="0062640D" w14:paraId="547EB4BC"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68" w:type="dxa"/>
              <w:right w:w="0" w:type="dxa"/>
            </w:tcMar>
            <w:vAlign w:val="bottom"/>
          </w:tcPr>
          <w:p w14:paraId="1F59F64A" w14:textId="77777777" w:rsidR="0062640D" w:rsidRDefault="00C12A80">
            <w:r>
              <w:t>Central costs</w:t>
            </w:r>
          </w:p>
        </w:tc>
        <w:tc>
          <w:tcPr>
            <w:tcW w:w="1133" w:type="dxa"/>
            <w:tcBorders>
              <w:top w:val="none" w:sz="8" w:space="0" w:color="auto"/>
              <w:left w:val="none" w:sz="8" w:space="0" w:color="auto"/>
              <w:bottom w:val="none" w:sz="8" w:space="0" w:color="auto"/>
              <w:right w:val="none" w:sz="8" w:space="0" w:color="auto"/>
            </w:tcBorders>
            <w:tcMar>
              <w:top w:w="56" w:type="dxa"/>
              <w:left w:w="0" w:type="dxa"/>
              <w:bottom w:w="68" w:type="dxa"/>
              <w:right w:w="0" w:type="dxa"/>
            </w:tcMar>
            <w:vAlign w:val="bottom"/>
          </w:tcPr>
          <w:p w14:paraId="594A2B5B" w14:textId="39847847" w:rsidR="0062640D" w:rsidRDefault="00C12A80">
            <w:pPr>
              <w:pStyle w:val="Account-BracketBold"/>
            </w:pPr>
            <w:r>
              <w:t>(20,2</w:t>
            </w:r>
            <w:r w:rsidR="00565E9B">
              <w:t>72</w:t>
            </w:r>
            <w:r>
              <w:t>)</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0D6E1DED" w14:textId="77777777" w:rsidR="0062640D" w:rsidRDefault="00C12A80">
            <w:pPr>
              <w:pStyle w:val="Accounts-Bracket"/>
            </w:pPr>
            <w:r>
              <w:t>(21,102)</w:t>
            </w:r>
          </w:p>
        </w:tc>
      </w:tr>
      <w:tr w:rsidR="0062640D" w14:paraId="27E5BF69" w14:textId="77777777">
        <w:tc>
          <w:tcPr>
            <w:tcW w:w="7823" w:type="dxa"/>
            <w:tcBorders>
              <w:top w:val="none" w:sz="8" w:space="0" w:color="auto"/>
              <w:left w:val="none" w:sz="8" w:space="0" w:color="auto"/>
              <w:bottom w:val="single" w:sz="2" w:space="0" w:color="FF777C"/>
              <w:right w:val="none" w:sz="8" w:space="0" w:color="auto"/>
            </w:tcBorders>
            <w:tcMar>
              <w:top w:w="56" w:type="dxa"/>
              <w:left w:w="0" w:type="dxa"/>
              <w:bottom w:w="68" w:type="dxa"/>
              <w:right w:w="0" w:type="dxa"/>
            </w:tcMar>
            <w:vAlign w:val="bottom"/>
          </w:tcPr>
          <w:p w14:paraId="1BE86D83" w14:textId="77777777" w:rsidR="0062640D" w:rsidRDefault="00C12A80">
            <w:r>
              <w:t>Share-based payments expense</w:t>
            </w:r>
          </w:p>
        </w:tc>
        <w:tc>
          <w:tcPr>
            <w:tcW w:w="1133" w:type="dxa"/>
            <w:tcBorders>
              <w:top w:val="none" w:sz="8" w:space="0" w:color="auto"/>
              <w:left w:val="none" w:sz="8" w:space="0" w:color="auto"/>
              <w:bottom w:val="single" w:sz="2" w:space="0" w:color="FF777C"/>
              <w:right w:val="none" w:sz="8" w:space="0" w:color="auto"/>
            </w:tcBorders>
            <w:tcMar>
              <w:top w:w="56" w:type="dxa"/>
              <w:left w:w="0" w:type="dxa"/>
              <w:bottom w:w="68" w:type="dxa"/>
              <w:right w:w="0" w:type="dxa"/>
            </w:tcMar>
            <w:vAlign w:val="bottom"/>
          </w:tcPr>
          <w:p w14:paraId="3EBDEC91" w14:textId="77777777" w:rsidR="0062640D" w:rsidRDefault="00C12A80">
            <w:pPr>
              <w:pStyle w:val="Account-BracketBold"/>
            </w:pPr>
            <w:r>
              <w:t>(3,615)</w:t>
            </w:r>
          </w:p>
        </w:tc>
        <w:tc>
          <w:tcPr>
            <w:tcW w:w="113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17295670" w14:textId="77777777" w:rsidR="0062640D" w:rsidRDefault="00C12A80">
            <w:pPr>
              <w:pStyle w:val="Accounts-Bracket"/>
            </w:pPr>
            <w:r>
              <w:t>(5,910)</w:t>
            </w:r>
          </w:p>
        </w:tc>
      </w:tr>
      <w:tr w:rsidR="0062640D" w14:paraId="3B0314D1" w14:textId="77777777">
        <w:tc>
          <w:tcPr>
            <w:tcW w:w="7823" w:type="dxa"/>
            <w:tcBorders>
              <w:top w:val="single" w:sz="2" w:space="0" w:color="FF777C"/>
              <w:left w:val="none" w:sz="8" w:space="0" w:color="auto"/>
              <w:bottom w:val="none" w:sz="8" w:space="0" w:color="auto"/>
              <w:right w:val="none" w:sz="8" w:space="0" w:color="auto"/>
            </w:tcBorders>
            <w:tcMar>
              <w:top w:w="56" w:type="dxa"/>
              <w:left w:w="0" w:type="dxa"/>
              <w:bottom w:w="68" w:type="dxa"/>
              <w:right w:w="0" w:type="dxa"/>
            </w:tcMar>
            <w:vAlign w:val="bottom"/>
          </w:tcPr>
          <w:p w14:paraId="33ECE5E1" w14:textId="77777777" w:rsidR="0062640D" w:rsidRDefault="00C12A80">
            <w:pPr>
              <w:pStyle w:val="Heading-2"/>
            </w:pPr>
            <w:r>
              <w:t>Adjusted EBITDA</w:t>
            </w:r>
          </w:p>
        </w:tc>
        <w:tc>
          <w:tcPr>
            <w:tcW w:w="1133" w:type="dxa"/>
            <w:tcBorders>
              <w:top w:val="single" w:sz="2" w:space="0" w:color="FF777C"/>
              <w:left w:val="none" w:sz="8" w:space="0" w:color="auto"/>
              <w:bottom w:val="none" w:sz="8" w:space="0" w:color="auto"/>
              <w:right w:val="none" w:sz="8" w:space="0" w:color="auto"/>
            </w:tcBorders>
            <w:tcMar>
              <w:top w:w="56" w:type="dxa"/>
              <w:left w:w="0" w:type="dxa"/>
              <w:bottom w:w="68" w:type="dxa"/>
              <w:right w:w="0" w:type="dxa"/>
            </w:tcMar>
            <w:vAlign w:val="bottom"/>
          </w:tcPr>
          <w:p w14:paraId="223BAE33" w14:textId="0F4B8737" w:rsidR="0062640D" w:rsidRDefault="00C12A80">
            <w:pPr>
              <w:pStyle w:val="AccountsBold"/>
            </w:pPr>
            <w:r>
              <w:t>234,4</w:t>
            </w:r>
            <w:r w:rsidR="00565E9B">
              <w:t>53</w:t>
            </w:r>
          </w:p>
        </w:tc>
        <w:tc>
          <w:tcPr>
            <w:tcW w:w="1133" w:type="dxa"/>
            <w:tcBorders>
              <w:top w:val="single" w:sz="2"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66969C9D" w14:textId="77777777" w:rsidR="0062640D" w:rsidRDefault="00C12A80">
            <w:pPr>
              <w:pStyle w:val="Accounts"/>
            </w:pPr>
            <w:r>
              <w:t>223,108</w:t>
            </w:r>
          </w:p>
        </w:tc>
      </w:tr>
      <w:tr w:rsidR="0062640D" w14:paraId="52992D0E"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68" w:type="dxa"/>
              <w:right w:w="0" w:type="dxa"/>
            </w:tcMar>
            <w:vAlign w:val="bottom"/>
          </w:tcPr>
          <w:p w14:paraId="00427158" w14:textId="77777777" w:rsidR="0062640D" w:rsidRDefault="0062640D"/>
        </w:tc>
        <w:tc>
          <w:tcPr>
            <w:tcW w:w="1133" w:type="dxa"/>
            <w:tcBorders>
              <w:top w:val="none" w:sz="8" w:space="0" w:color="auto"/>
              <w:left w:val="none" w:sz="8" w:space="0" w:color="auto"/>
              <w:bottom w:val="none" w:sz="8" w:space="0" w:color="auto"/>
              <w:right w:val="none" w:sz="8" w:space="0" w:color="auto"/>
            </w:tcBorders>
            <w:tcMar>
              <w:top w:w="56" w:type="dxa"/>
              <w:left w:w="0" w:type="dxa"/>
              <w:bottom w:w="68" w:type="dxa"/>
              <w:right w:w="0" w:type="dxa"/>
            </w:tcMar>
            <w:vAlign w:val="bottom"/>
          </w:tcPr>
          <w:p w14:paraId="1002E12A" w14:textId="77777777" w:rsidR="0062640D" w:rsidRDefault="0062640D"/>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5984B178" w14:textId="77777777" w:rsidR="0062640D" w:rsidRDefault="0062640D"/>
        </w:tc>
      </w:tr>
      <w:tr w:rsidR="0062640D" w14:paraId="25F668ED"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68" w:type="dxa"/>
              <w:right w:w="0" w:type="dxa"/>
            </w:tcMar>
            <w:vAlign w:val="bottom"/>
          </w:tcPr>
          <w:p w14:paraId="596243AE" w14:textId="77777777" w:rsidR="0062640D" w:rsidRDefault="00C12A80">
            <w:pPr>
              <w:pStyle w:val="Heading-3"/>
            </w:pPr>
            <w:r>
              <w:t>Adjusting items</w:t>
            </w:r>
          </w:p>
        </w:tc>
        <w:tc>
          <w:tcPr>
            <w:tcW w:w="1133" w:type="dxa"/>
            <w:tcBorders>
              <w:top w:val="none" w:sz="8" w:space="0" w:color="auto"/>
              <w:left w:val="none" w:sz="8" w:space="0" w:color="auto"/>
              <w:bottom w:val="none" w:sz="8" w:space="0" w:color="auto"/>
              <w:right w:val="none" w:sz="8" w:space="0" w:color="auto"/>
            </w:tcBorders>
            <w:tcMar>
              <w:top w:w="56" w:type="dxa"/>
              <w:left w:w="0" w:type="dxa"/>
              <w:bottom w:w="68" w:type="dxa"/>
              <w:right w:w="0" w:type="dxa"/>
            </w:tcMar>
            <w:vAlign w:val="bottom"/>
          </w:tcPr>
          <w:p w14:paraId="29CB62FF" w14:textId="77777777" w:rsidR="0062640D" w:rsidRDefault="0062640D"/>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7AA1A2FB" w14:textId="77777777" w:rsidR="0062640D" w:rsidRDefault="0062640D"/>
        </w:tc>
      </w:tr>
      <w:tr w:rsidR="00585F2A" w14:paraId="3DC007E6"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68" w:type="dxa"/>
              <w:right w:w="0" w:type="dxa"/>
            </w:tcMar>
            <w:vAlign w:val="bottom"/>
          </w:tcPr>
          <w:p w14:paraId="3AD62C4E" w14:textId="120CB185" w:rsidR="00585F2A" w:rsidRDefault="00585F2A" w:rsidP="00585F2A">
            <w:r>
              <w:t>Impairment charge relating to investment property</w:t>
            </w:r>
          </w:p>
        </w:tc>
        <w:tc>
          <w:tcPr>
            <w:tcW w:w="1133" w:type="dxa"/>
            <w:tcBorders>
              <w:top w:val="none" w:sz="8" w:space="0" w:color="auto"/>
              <w:left w:val="none" w:sz="8" w:space="0" w:color="auto"/>
              <w:bottom w:val="none" w:sz="8" w:space="0" w:color="auto"/>
              <w:right w:val="none" w:sz="8" w:space="0" w:color="auto"/>
            </w:tcBorders>
            <w:tcMar>
              <w:top w:w="56" w:type="dxa"/>
              <w:left w:w="0" w:type="dxa"/>
              <w:bottom w:w="68" w:type="dxa"/>
              <w:right w:w="0" w:type="dxa"/>
            </w:tcMar>
            <w:vAlign w:val="bottom"/>
          </w:tcPr>
          <w:p w14:paraId="456E90AA" w14:textId="77777777" w:rsidR="00585F2A" w:rsidRDefault="00585F2A" w:rsidP="00585F2A">
            <w:pPr>
              <w:pStyle w:val="Account-BracketBold"/>
            </w:pPr>
            <w:r>
              <w:t>(96)</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3DB0ABEA" w14:textId="77777777" w:rsidR="00585F2A" w:rsidRDefault="00585F2A" w:rsidP="00585F2A">
            <w:pPr>
              <w:pStyle w:val="Accounts"/>
            </w:pPr>
            <w:r>
              <w:t>-</w:t>
            </w:r>
          </w:p>
        </w:tc>
      </w:tr>
      <w:tr w:rsidR="00585F2A" w14:paraId="215CC844"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68" w:type="dxa"/>
              <w:right w:w="0" w:type="dxa"/>
            </w:tcMar>
            <w:vAlign w:val="bottom"/>
          </w:tcPr>
          <w:p w14:paraId="0AFBDEDF" w14:textId="5EB3DC1B" w:rsidR="00585F2A" w:rsidRDefault="00585F2A" w:rsidP="00585F2A">
            <w:r w:rsidRPr="00495A74">
              <w:t xml:space="preserve">Impairment </w:t>
            </w:r>
            <w:r w:rsidR="00CF1327">
              <w:t>(</w:t>
            </w:r>
            <w:r w:rsidRPr="00495A74">
              <w:t>charge</w:t>
            </w:r>
            <w:r w:rsidR="00CF1327">
              <w:t>)</w:t>
            </w:r>
            <w:r w:rsidRPr="00495A74">
              <w:t>/reversal relating to property, plant and equipment through profit and loss</w:t>
            </w:r>
          </w:p>
        </w:tc>
        <w:tc>
          <w:tcPr>
            <w:tcW w:w="1133" w:type="dxa"/>
            <w:tcBorders>
              <w:top w:val="none" w:sz="8" w:space="0" w:color="auto"/>
              <w:left w:val="none" w:sz="8" w:space="0" w:color="auto"/>
              <w:bottom w:val="none" w:sz="8" w:space="0" w:color="auto"/>
              <w:right w:val="none" w:sz="8" w:space="0" w:color="auto"/>
            </w:tcBorders>
            <w:tcMar>
              <w:top w:w="56" w:type="dxa"/>
              <w:left w:w="0" w:type="dxa"/>
              <w:bottom w:w="68" w:type="dxa"/>
              <w:right w:w="0" w:type="dxa"/>
            </w:tcMar>
            <w:vAlign w:val="bottom"/>
          </w:tcPr>
          <w:p w14:paraId="7BA1BC18" w14:textId="259F75BE" w:rsidR="00585F2A" w:rsidRDefault="00585F2A" w:rsidP="00585F2A">
            <w:pPr>
              <w:pStyle w:val="Account-BracketBold"/>
            </w:pPr>
            <w:r>
              <w:t>(1,322)</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06B9CF92" w14:textId="557FABA9" w:rsidR="00585F2A" w:rsidRDefault="00585F2A" w:rsidP="00585F2A">
            <w:pPr>
              <w:pStyle w:val="Accounts"/>
            </w:pPr>
            <w:r>
              <w:t>2,025</w:t>
            </w:r>
          </w:p>
        </w:tc>
      </w:tr>
      <w:tr w:rsidR="00DB5DC1" w14:paraId="5125D49A"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68" w:type="dxa"/>
              <w:right w:w="0" w:type="dxa"/>
            </w:tcMar>
            <w:vAlign w:val="bottom"/>
          </w:tcPr>
          <w:p w14:paraId="45B96427" w14:textId="2E40DBC9" w:rsidR="00DB5DC1" w:rsidRPr="00495A74" w:rsidRDefault="00DB5DC1" w:rsidP="00DB5DC1">
            <w:r>
              <w:t>Impairment reversal relating to right-of-use assets</w:t>
            </w:r>
          </w:p>
        </w:tc>
        <w:tc>
          <w:tcPr>
            <w:tcW w:w="1133" w:type="dxa"/>
            <w:tcBorders>
              <w:top w:val="none" w:sz="8" w:space="0" w:color="auto"/>
              <w:left w:val="none" w:sz="8" w:space="0" w:color="auto"/>
              <w:bottom w:val="none" w:sz="8" w:space="0" w:color="auto"/>
              <w:right w:val="none" w:sz="8" w:space="0" w:color="auto"/>
            </w:tcBorders>
            <w:tcMar>
              <w:top w:w="56" w:type="dxa"/>
              <w:left w:w="0" w:type="dxa"/>
              <w:bottom w:w="68" w:type="dxa"/>
              <w:right w:w="0" w:type="dxa"/>
            </w:tcMar>
            <w:vAlign w:val="bottom"/>
          </w:tcPr>
          <w:p w14:paraId="74440E2C" w14:textId="093C87F0" w:rsidR="00DB5DC1" w:rsidRDefault="00DB5DC1" w:rsidP="00DB5DC1">
            <w:pPr>
              <w:pStyle w:val="Account-BracketBold"/>
            </w:pPr>
            <w:r>
              <w:t>1,719</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71E09E4D" w14:textId="7237B476" w:rsidR="00DB5DC1" w:rsidRDefault="00DB5DC1" w:rsidP="00DB5DC1">
            <w:pPr>
              <w:pStyle w:val="Accounts"/>
            </w:pPr>
            <w:r>
              <w:t>-</w:t>
            </w:r>
          </w:p>
        </w:tc>
      </w:tr>
      <w:tr w:rsidR="00DB5DC1" w14:paraId="06249707" w14:textId="77777777">
        <w:tc>
          <w:tcPr>
            <w:tcW w:w="7823" w:type="dxa"/>
            <w:tcBorders>
              <w:top w:val="none" w:sz="8" w:space="0" w:color="auto"/>
              <w:left w:val="none" w:sz="8" w:space="0" w:color="auto"/>
              <w:bottom w:val="nil"/>
              <w:right w:val="none" w:sz="8" w:space="0" w:color="auto"/>
            </w:tcBorders>
            <w:tcMar>
              <w:top w:w="56" w:type="dxa"/>
              <w:left w:w="0" w:type="dxa"/>
              <w:bottom w:w="68" w:type="dxa"/>
              <w:right w:w="0" w:type="dxa"/>
            </w:tcMar>
            <w:vAlign w:val="bottom"/>
          </w:tcPr>
          <w:p w14:paraId="7F7BA354" w14:textId="77777777" w:rsidR="00DB5DC1" w:rsidRDefault="00DB5DC1" w:rsidP="00DB5DC1">
            <w:r>
              <w:t>Hotel pre-opening expenses</w:t>
            </w:r>
          </w:p>
        </w:tc>
        <w:tc>
          <w:tcPr>
            <w:tcW w:w="1133" w:type="dxa"/>
            <w:tcBorders>
              <w:top w:val="none" w:sz="8" w:space="0" w:color="auto"/>
              <w:left w:val="none" w:sz="8" w:space="0" w:color="auto"/>
              <w:bottom w:val="nil"/>
              <w:right w:val="none" w:sz="8" w:space="0" w:color="auto"/>
            </w:tcBorders>
            <w:tcMar>
              <w:top w:w="56" w:type="dxa"/>
              <w:left w:w="0" w:type="dxa"/>
              <w:bottom w:w="68" w:type="dxa"/>
              <w:right w:w="0" w:type="dxa"/>
            </w:tcMar>
            <w:vAlign w:val="bottom"/>
          </w:tcPr>
          <w:p w14:paraId="4535CA6C" w14:textId="0D6EEF8C" w:rsidR="00DB5DC1" w:rsidRDefault="00DB5DC1" w:rsidP="00DB5DC1">
            <w:pPr>
              <w:pStyle w:val="Account-BracketBold"/>
            </w:pPr>
            <w:r>
              <w:t>(1,895)</w:t>
            </w:r>
          </w:p>
        </w:tc>
        <w:tc>
          <w:tcPr>
            <w:tcW w:w="1133"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3BA36348" w14:textId="77777777" w:rsidR="00DB5DC1" w:rsidRDefault="00DB5DC1" w:rsidP="00DB5DC1">
            <w:pPr>
              <w:pStyle w:val="Accounts-Bracket"/>
            </w:pPr>
            <w:r>
              <w:t>(497)</w:t>
            </w:r>
          </w:p>
        </w:tc>
      </w:tr>
      <w:tr w:rsidR="00DB5DC1" w14:paraId="46A6DB66" w14:textId="77777777">
        <w:tc>
          <w:tcPr>
            <w:tcW w:w="7823" w:type="dxa"/>
            <w:tcBorders>
              <w:top w:val="nil"/>
              <w:left w:val="nil"/>
              <w:bottom w:val="single" w:sz="4" w:space="0" w:color="FF777C"/>
              <w:right w:val="nil"/>
            </w:tcBorders>
            <w:tcMar>
              <w:top w:w="56" w:type="dxa"/>
              <w:left w:w="0" w:type="dxa"/>
              <w:bottom w:w="68" w:type="dxa"/>
              <w:right w:w="0" w:type="dxa"/>
            </w:tcMar>
            <w:vAlign w:val="bottom"/>
          </w:tcPr>
          <w:p w14:paraId="44C2A12A" w14:textId="77777777" w:rsidR="00DB5DC1" w:rsidRDefault="00DB5DC1" w:rsidP="00DB5DC1">
            <w:r>
              <w:t>Acquisition-related costs</w:t>
            </w:r>
          </w:p>
        </w:tc>
        <w:tc>
          <w:tcPr>
            <w:tcW w:w="1133" w:type="dxa"/>
            <w:tcBorders>
              <w:top w:val="nil"/>
              <w:left w:val="nil"/>
              <w:bottom w:val="single" w:sz="4" w:space="0" w:color="FF777C"/>
              <w:right w:val="nil"/>
            </w:tcBorders>
            <w:tcMar>
              <w:top w:w="56" w:type="dxa"/>
              <w:left w:w="0" w:type="dxa"/>
              <w:bottom w:w="68" w:type="dxa"/>
              <w:right w:w="0" w:type="dxa"/>
            </w:tcMar>
            <w:vAlign w:val="bottom"/>
          </w:tcPr>
          <w:p w14:paraId="79AD95E1" w14:textId="3ACD655F" w:rsidR="00DB5DC1" w:rsidRDefault="00DB5DC1" w:rsidP="00DB5DC1">
            <w:pPr>
              <w:pStyle w:val="Account-BracketBold"/>
            </w:pPr>
            <w:r>
              <w:t>(1,106)</w:t>
            </w:r>
          </w:p>
        </w:tc>
        <w:tc>
          <w:tcPr>
            <w:tcW w:w="1133" w:type="dxa"/>
            <w:tcBorders>
              <w:top w:val="nil"/>
              <w:left w:val="nil"/>
              <w:bottom w:val="single" w:sz="4" w:space="0" w:color="FF777C"/>
              <w:right w:val="nil"/>
            </w:tcBorders>
            <w:tcMar>
              <w:top w:w="56" w:type="dxa"/>
              <w:left w:w="0" w:type="dxa"/>
              <w:bottom w:w="85" w:type="dxa"/>
              <w:right w:w="0" w:type="dxa"/>
            </w:tcMar>
            <w:vAlign w:val="bottom"/>
          </w:tcPr>
          <w:p w14:paraId="135BDFD6" w14:textId="77777777" w:rsidR="00DB5DC1" w:rsidRDefault="00DB5DC1" w:rsidP="00DB5DC1">
            <w:pPr>
              <w:pStyle w:val="Accounts-Bracket"/>
            </w:pPr>
            <w:r>
              <w:t xml:space="preserve"> (4,389)</w:t>
            </w:r>
          </w:p>
        </w:tc>
      </w:tr>
      <w:tr w:rsidR="00DB5DC1" w14:paraId="6CE3AAE1" w14:textId="77777777">
        <w:tc>
          <w:tcPr>
            <w:tcW w:w="7823" w:type="dxa"/>
            <w:tcBorders>
              <w:top w:val="single" w:sz="4" w:space="0" w:color="FF777C"/>
              <w:left w:val="none" w:sz="8" w:space="0" w:color="auto"/>
              <w:bottom w:val="none" w:sz="8" w:space="0" w:color="auto"/>
              <w:right w:val="none" w:sz="8" w:space="0" w:color="auto"/>
            </w:tcBorders>
            <w:tcMar>
              <w:top w:w="56" w:type="dxa"/>
              <w:left w:w="0" w:type="dxa"/>
              <w:bottom w:w="68" w:type="dxa"/>
              <w:right w:w="0" w:type="dxa"/>
            </w:tcMar>
            <w:vAlign w:val="bottom"/>
          </w:tcPr>
          <w:p w14:paraId="0A3BBCE9" w14:textId="77777777" w:rsidR="00DB5DC1" w:rsidRDefault="00DB5DC1" w:rsidP="00DB5DC1">
            <w:pPr>
              <w:pStyle w:val="Heading-2"/>
            </w:pPr>
            <w:r>
              <w:t>Group EBITDA</w:t>
            </w:r>
          </w:p>
        </w:tc>
        <w:tc>
          <w:tcPr>
            <w:tcW w:w="1133" w:type="dxa"/>
            <w:tcBorders>
              <w:top w:val="single" w:sz="4" w:space="0" w:color="FF777C"/>
              <w:left w:val="none" w:sz="8" w:space="0" w:color="auto"/>
              <w:bottom w:val="none" w:sz="8" w:space="0" w:color="auto"/>
              <w:right w:val="none" w:sz="8" w:space="0" w:color="auto"/>
            </w:tcBorders>
            <w:tcMar>
              <w:top w:w="56" w:type="dxa"/>
              <w:left w:w="0" w:type="dxa"/>
              <w:bottom w:w="68" w:type="dxa"/>
              <w:right w:w="0" w:type="dxa"/>
            </w:tcMar>
            <w:vAlign w:val="bottom"/>
          </w:tcPr>
          <w:p w14:paraId="30CAFCDB" w14:textId="2245ED6A" w:rsidR="00DB5DC1" w:rsidRDefault="00DB5DC1" w:rsidP="00DB5DC1">
            <w:pPr>
              <w:pStyle w:val="AccountsBold"/>
            </w:pPr>
            <w:r>
              <w:t>231,753</w:t>
            </w:r>
          </w:p>
        </w:tc>
        <w:tc>
          <w:tcPr>
            <w:tcW w:w="1133" w:type="dxa"/>
            <w:tcBorders>
              <w:top w:val="single" w:sz="4"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76531899" w14:textId="77777777" w:rsidR="00DB5DC1" w:rsidRDefault="00DB5DC1" w:rsidP="00DB5DC1">
            <w:pPr>
              <w:pStyle w:val="Accounts"/>
            </w:pPr>
            <w:r>
              <w:t>220,247</w:t>
            </w:r>
          </w:p>
        </w:tc>
      </w:tr>
      <w:tr w:rsidR="00DB5DC1" w14:paraId="47D155DA"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68" w:type="dxa"/>
              <w:right w:w="0" w:type="dxa"/>
            </w:tcMar>
            <w:vAlign w:val="bottom"/>
          </w:tcPr>
          <w:p w14:paraId="751F58F8" w14:textId="77777777" w:rsidR="00DB5DC1" w:rsidRDefault="00DB5DC1" w:rsidP="00DB5DC1"/>
        </w:tc>
        <w:tc>
          <w:tcPr>
            <w:tcW w:w="1133" w:type="dxa"/>
            <w:tcBorders>
              <w:top w:val="none" w:sz="8" w:space="0" w:color="auto"/>
              <w:left w:val="none" w:sz="8" w:space="0" w:color="auto"/>
              <w:bottom w:val="none" w:sz="8" w:space="0" w:color="auto"/>
              <w:right w:val="none" w:sz="8" w:space="0" w:color="auto"/>
            </w:tcBorders>
            <w:tcMar>
              <w:top w:w="56" w:type="dxa"/>
              <w:left w:w="0" w:type="dxa"/>
              <w:bottom w:w="68" w:type="dxa"/>
              <w:right w:w="0" w:type="dxa"/>
            </w:tcMar>
            <w:vAlign w:val="bottom"/>
          </w:tcPr>
          <w:p w14:paraId="4EA51D33" w14:textId="77777777" w:rsidR="00DB5DC1" w:rsidRDefault="00DB5DC1" w:rsidP="00DB5DC1"/>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2F5E1827" w14:textId="77777777" w:rsidR="00DB5DC1" w:rsidRDefault="00DB5DC1" w:rsidP="00DB5DC1"/>
        </w:tc>
      </w:tr>
      <w:tr w:rsidR="00DB5DC1" w14:paraId="7E305A11"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68" w:type="dxa"/>
              <w:right w:w="0" w:type="dxa"/>
            </w:tcMar>
            <w:vAlign w:val="bottom"/>
          </w:tcPr>
          <w:p w14:paraId="44D76330" w14:textId="77777777" w:rsidR="00DB5DC1" w:rsidRDefault="00DB5DC1" w:rsidP="00DB5DC1">
            <w:r>
              <w:t>Depreciation of property, plant and equipment</w:t>
            </w:r>
          </w:p>
        </w:tc>
        <w:tc>
          <w:tcPr>
            <w:tcW w:w="1133" w:type="dxa"/>
            <w:tcBorders>
              <w:top w:val="none" w:sz="8" w:space="0" w:color="auto"/>
              <w:left w:val="none" w:sz="8" w:space="0" w:color="auto"/>
              <w:bottom w:val="none" w:sz="8" w:space="0" w:color="auto"/>
              <w:right w:val="none" w:sz="8" w:space="0" w:color="auto"/>
            </w:tcBorders>
            <w:tcMar>
              <w:top w:w="56" w:type="dxa"/>
              <w:left w:w="0" w:type="dxa"/>
              <w:bottom w:w="68" w:type="dxa"/>
              <w:right w:w="0" w:type="dxa"/>
            </w:tcMar>
            <w:vAlign w:val="bottom"/>
          </w:tcPr>
          <w:p w14:paraId="1604FDDC" w14:textId="77777777" w:rsidR="00DB5DC1" w:rsidRDefault="00DB5DC1" w:rsidP="00DB5DC1">
            <w:pPr>
              <w:pStyle w:val="Account-BracketBold"/>
            </w:pPr>
            <w:r>
              <w:t>(39,316)</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588B9718" w14:textId="77777777" w:rsidR="00DB5DC1" w:rsidRDefault="00DB5DC1" w:rsidP="00DB5DC1">
            <w:pPr>
              <w:pStyle w:val="Accounts-Bracket"/>
            </w:pPr>
            <w:r>
              <w:t>(32,791)</w:t>
            </w:r>
          </w:p>
        </w:tc>
      </w:tr>
      <w:tr w:rsidR="00DB5DC1" w14:paraId="378B11F5"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68" w:type="dxa"/>
              <w:right w:w="0" w:type="dxa"/>
            </w:tcMar>
            <w:vAlign w:val="bottom"/>
          </w:tcPr>
          <w:p w14:paraId="1FFC4307" w14:textId="77777777" w:rsidR="00DB5DC1" w:rsidRDefault="00DB5DC1" w:rsidP="00DB5DC1">
            <w:r>
              <w:t>Depreciation of right-of-use assets</w:t>
            </w:r>
          </w:p>
        </w:tc>
        <w:tc>
          <w:tcPr>
            <w:tcW w:w="1133" w:type="dxa"/>
            <w:tcBorders>
              <w:top w:val="none" w:sz="8" w:space="0" w:color="auto"/>
              <w:left w:val="none" w:sz="8" w:space="0" w:color="auto"/>
              <w:bottom w:val="none" w:sz="8" w:space="0" w:color="auto"/>
              <w:right w:val="none" w:sz="8" w:space="0" w:color="auto"/>
            </w:tcBorders>
            <w:tcMar>
              <w:top w:w="56" w:type="dxa"/>
              <w:left w:w="0" w:type="dxa"/>
              <w:bottom w:w="68" w:type="dxa"/>
              <w:right w:w="0" w:type="dxa"/>
            </w:tcMar>
            <w:vAlign w:val="bottom"/>
          </w:tcPr>
          <w:p w14:paraId="2BA418F8" w14:textId="77777777" w:rsidR="00DB5DC1" w:rsidRDefault="00DB5DC1" w:rsidP="00DB5DC1">
            <w:pPr>
              <w:pStyle w:val="Account-BracketBold"/>
            </w:pPr>
            <w:r>
              <w:t>(33,727)</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515EA920" w14:textId="77777777" w:rsidR="00DB5DC1" w:rsidRDefault="00DB5DC1" w:rsidP="00DB5DC1">
            <w:pPr>
              <w:pStyle w:val="Accounts-Bracket"/>
            </w:pPr>
            <w:r>
              <w:t>(30,663)</w:t>
            </w:r>
          </w:p>
        </w:tc>
      </w:tr>
      <w:tr w:rsidR="00DB5DC1" w14:paraId="3344BB9F"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68" w:type="dxa"/>
              <w:right w:w="0" w:type="dxa"/>
            </w:tcMar>
            <w:vAlign w:val="bottom"/>
          </w:tcPr>
          <w:p w14:paraId="6D3CBBF8" w14:textId="77777777" w:rsidR="00DB5DC1" w:rsidRDefault="00DB5DC1" w:rsidP="00DB5DC1">
            <w:r>
              <w:t>Amortisation of intangible assets</w:t>
            </w:r>
          </w:p>
        </w:tc>
        <w:tc>
          <w:tcPr>
            <w:tcW w:w="1133" w:type="dxa"/>
            <w:tcBorders>
              <w:top w:val="none" w:sz="8" w:space="0" w:color="auto"/>
              <w:left w:val="none" w:sz="8" w:space="0" w:color="auto"/>
              <w:bottom w:val="none" w:sz="8" w:space="0" w:color="auto"/>
              <w:right w:val="none" w:sz="8" w:space="0" w:color="auto"/>
            </w:tcBorders>
            <w:tcMar>
              <w:top w:w="56" w:type="dxa"/>
              <w:left w:w="0" w:type="dxa"/>
              <w:bottom w:w="68" w:type="dxa"/>
              <w:right w:w="0" w:type="dxa"/>
            </w:tcMar>
            <w:vAlign w:val="bottom"/>
          </w:tcPr>
          <w:p w14:paraId="4E03FC60" w14:textId="77777777" w:rsidR="00DB5DC1" w:rsidRDefault="00DB5DC1" w:rsidP="00DB5DC1">
            <w:pPr>
              <w:pStyle w:val="Account-BracketBold"/>
            </w:pPr>
            <w:r>
              <w:t>(252)</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09F5BC48" w14:textId="77777777" w:rsidR="00DB5DC1" w:rsidRDefault="00DB5DC1" w:rsidP="00DB5DC1">
            <w:pPr>
              <w:pStyle w:val="Accounts-Bracket"/>
            </w:pPr>
            <w:r>
              <w:t>(650)</w:t>
            </w:r>
          </w:p>
        </w:tc>
      </w:tr>
      <w:tr w:rsidR="00DB5DC1" w14:paraId="065FC808"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68" w:type="dxa"/>
              <w:right w:w="0" w:type="dxa"/>
            </w:tcMar>
            <w:vAlign w:val="bottom"/>
          </w:tcPr>
          <w:p w14:paraId="6EDE95B4" w14:textId="77777777" w:rsidR="00DB5DC1" w:rsidRDefault="00DB5DC1" w:rsidP="00DB5DC1">
            <w:r>
              <w:t>Interest on lease liabilities</w:t>
            </w:r>
          </w:p>
        </w:tc>
        <w:tc>
          <w:tcPr>
            <w:tcW w:w="1133" w:type="dxa"/>
            <w:tcBorders>
              <w:top w:val="none" w:sz="8" w:space="0" w:color="auto"/>
              <w:left w:val="none" w:sz="8" w:space="0" w:color="auto"/>
              <w:bottom w:val="none" w:sz="8" w:space="0" w:color="auto"/>
              <w:right w:val="none" w:sz="8" w:space="0" w:color="auto"/>
            </w:tcBorders>
            <w:tcMar>
              <w:top w:w="56" w:type="dxa"/>
              <w:left w:w="0" w:type="dxa"/>
              <w:bottom w:w="68" w:type="dxa"/>
              <w:right w:w="0" w:type="dxa"/>
            </w:tcMar>
            <w:vAlign w:val="bottom"/>
          </w:tcPr>
          <w:p w14:paraId="6C221D83" w14:textId="77777777" w:rsidR="00DB5DC1" w:rsidRDefault="00DB5DC1" w:rsidP="00DB5DC1">
            <w:pPr>
              <w:pStyle w:val="Account-BracketBold"/>
            </w:pPr>
            <w:r>
              <w:t>(49,487)</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73D325D8" w14:textId="77777777" w:rsidR="00DB5DC1" w:rsidRDefault="00DB5DC1" w:rsidP="00DB5DC1">
            <w:pPr>
              <w:pStyle w:val="Accounts-Bracket"/>
            </w:pPr>
            <w:r>
              <w:t>(42,751)</w:t>
            </w:r>
          </w:p>
        </w:tc>
      </w:tr>
      <w:tr w:rsidR="00DB5DC1" w14:paraId="2BD18EC3" w14:textId="77777777">
        <w:tc>
          <w:tcPr>
            <w:tcW w:w="7823" w:type="dxa"/>
            <w:tcBorders>
              <w:top w:val="none" w:sz="8" w:space="0" w:color="auto"/>
              <w:left w:val="none" w:sz="8" w:space="0" w:color="auto"/>
              <w:bottom w:val="single" w:sz="2" w:space="0" w:color="FF777C"/>
              <w:right w:val="none" w:sz="8" w:space="0" w:color="auto"/>
            </w:tcBorders>
            <w:tcMar>
              <w:top w:w="56" w:type="dxa"/>
              <w:left w:w="0" w:type="dxa"/>
              <w:bottom w:w="68" w:type="dxa"/>
              <w:right w:w="0" w:type="dxa"/>
            </w:tcMar>
            <w:vAlign w:val="bottom"/>
          </w:tcPr>
          <w:p w14:paraId="2389986D" w14:textId="650B3E2D" w:rsidR="00DB5DC1" w:rsidRDefault="00DB5DC1" w:rsidP="00DB5DC1">
            <w:r>
              <w:t>Other net interest and finance costs</w:t>
            </w:r>
          </w:p>
        </w:tc>
        <w:tc>
          <w:tcPr>
            <w:tcW w:w="1133" w:type="dxa"/>
            <w:tcBorders>
              <w:top w:val="none" w:sz="8" w:space="0" w:color="auto"/>
              <w:left w:val="none" w:sz="8" w:space="0" w:color="auto"/>
              <w:bottom w:val="single" w:sz="2" w:space="0" w:color="FF777C"/>
              <w:right w:val="none" w:sz="8" w:space="0" w:color="auto"/>
            </w:tcBorders>
            <w:tcMar>
              <w:top w:w="56" w:type="dxa"/>
              <w:left w:w="0" w:type="dxa"/>
              <w:bottom w:w="68" w:type="dxa"/>
              <w:right w:w="0" w:type="dxa"/>
            </w:tcMar>
            <w:vAlign w:val="bottom"/>
          </w:tcPr>
          <w:p w14:paraId="70A945F1" w14:textId="77777777" w:rsidR="00DB5DC1" w:rsidRDefault="00DB5DC1" w:rsidP="00DB5DC1">
            <w:pPr>
              <w:pStyle w:val="Account-BracketBold"/>
            </w:pPr>
            <w:r>
              <w:t>(17,733)</w:t>
            </w:r>
          </w:p>
        </w:tc>
        <w:tc>
          <w:tcPr>
            <w:tcW w:w="113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28ED1F2B" w14:textId="77777777" w:rsidR="00DB5DC1" w:rsidRDefault="00DB5DC1" w:rsidP="00DB5DC1">
            <w:pPr>
              <w:pStyle w:val="Accounts-Bracket"/>
            </w:pPr>
            <w:r>
              <w:t>(7,860)</w:t>
            </w:r>
          </w:p>
        </w:tc>
      </w:tr>
      <w:tr w:rsidR="00DB5DC1" w14:paraId="6AFE7482" w14:textId="77777777">
        <w:tc>
          <w:tcPr>
            <w:tcW w:w="7823" w:type="dxa"/>
            <w:tcBorders>
              <w:top w:val="single" w:sz="2" w:space="0" w:color="FF777C"/>
              <w:left w:val="none" w:sz="8" w:space="0" w:color="auto"/>
              <w:bottom w:val="none" w:sz="8" w:space="0" w:color="auto"/>
              <w:right w:val="none" w:sz="8" w:space="0" w:color="auto"/>
            </w:tcBorders>
            <w:tcMar>
              <w:top w:w="56" w:type="dxa"/>
              <w:left w:w="0" w:type="dxa"/>
              <w:bottom w:w="68" w:type="dxa"/>
              <w:right w:w="0" w:type="dxa"/>
            </w:tcMar>
            <w:vAlign w:val="bottom"/>
          </w:tcPr>
          <w:p w14:paraId="215E9606" w14:textId="77777777" w:rsidR="00DB5DC1" w:rsidRDefault="00DB5DC1" w:rsidP="00DB5DC1">
            <w:pPr>
              <w:pStyle w:val="Heading-2"/>
            </w:pPr>
            <w:r>
              <w:t>Profit before tax</w:t>
            </w:r>
          </w:p>
        </w:tc>
        <w:tc>
          <w:tcPr>
            <w:tcW w:w="1133" w:type="dxa"/>
            <w:tcBorders>
              <w:top w:val="single" w:sz="2" w:space="0" w:color="FF777C"/>
              <w:left w:val="none" w:sz="8" w:space="0" w:color="auto"/>
              <w:bottom w:val="none" w:sz="8" w:space="0" w:color="auto"/>
              <w:right w:val="none" w:sz="8" w:space="0" w:color="auto"/>
            </w:tcBorders>
            <w:tcMar>
              <w:top w:w="56" w:type="dxa"/>
              <w:left w:w="0" w:type="dxa"/>
              <w:bottom w:w="68" w:type="dxa"/>
              <w:right w:w="0" w:type="dxa"/>
            </w:tcMar>
            <w:vAlign w:val="bottom"/>
          </w:tcPr>
          <w:p w14:paraId="44AE2D16" w14:textId="7AC73884" w:rsidR="00DB5DC1" w:rsidRDefault="00DB5DC1" w:rsidP="00DB5DC1">
            <w:pPr>
              <w:pStyle w:val="AccountsBold"/>
            </w:pPr>
            <w:r>
              <w:t>91,238</w:t>
            </w:r>
          </w:p>
        </w:tc>
        <w:tc>
          <w:tcPr>
            <w:tcW w:w="1133" w:type="dxa"/>
            <w:tcBorders>
              <w:top w:val="single" w:sz="2"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690474B7" w14:textId="77777777" w:rsidR="00DB5DC1" w:rsidRDefault="00DB5DC1" w:rsidP="00DB5DC1">
            <w:pPr>
              <w:pStyle w:val="Accounts"/>
            </w:pPr>
            <w:r>
              <w:t>105,532</w:t>
            </w:r>
          </w:p>
        </w:tc>
      </w:tr>
      <w:tr w:rsidR="00DB5DC1" w14:paraId="7F8283D3" w14:textId="77777777">
        <w:tc>
          <w:tcPr>
            <w:tcW w:w="7823" w:type="dxa"/>
            <w:tcBorders>
              <w:top w:val="none" w:sz="8" w:space="0" w:color="auto"/>
              <w:left w:val="none" w:sz="8" w:space="0" w:color="auto"/>
              <w:bottom w:val="single" w:sz="2" w:space="0" w:color="FF777C"/>
              <w:right w:val="none" w:sz="8" w:space="0" w:color="auto"/>
            </w:tcBorders>
            <w:tcMar>
              <w:top w:w="56" w:type="dxa"/>
              <w:left w:w="0" w:type="dxa"/>
              <w:bottom w:w="68" w:type="dxa"/>
              <w:right w:w="0" w:type="dxa"/>
            </w:tcMar>
            <w:vAlign w:val="bottom"/>
          </w:tcPr>
          <w:p w14:paraId="3EC88BDF" w14:textId="77777777" w:rsidR="00DB5DC1" w:rsidRDefault="00DB5DC1" w:rsidP="00DB5DC1">
            <w:r>
              <w:t>Tax charge</w:t>
            </w:r>
          </w:p>
        </w:tc>
        <w:tc>
          <w:tcPr>
            <w:tcW w:w="1133" w:type="dxa"/>
            <w:tcBorders>
              <w:top w:val="none" w:sz="8" w:space="0" w:color="auto"/>
              <w:left w:val="none" w:sz="8" w:space="0" w:color="auto"/>
              <w:bottom w:val="single" w:sz="2" w:space="0" w:color="FF777C"/>
              <w:right w:val="none" w:sz="8" w:space="0" w:color="auto"/>
            </w:tcBorders>
            <w:tcMar>
              <w:top w:w="56" w:type="dxa"/>
              <w:left w:w="0" w:type="dxa"/>
              <w:bottom w:w="68" w:type="dxa"/>
              <w:right w:w="0" w:type="dxa"/>
            </w:tcMar>
            <w:vAlign w:val="bottom"/>
          </w:tcPr>
          <w:p w14:paraId="2EAAD263" w14:textId="77777777" w:rsidR="00DB5DC1" w:rsidRDefault="00DB5DC1" w:rsidP="00DB5DC1">
            <w:pPr>
              <w:pStyle w:val="Account-BracketBold"/>
            </w:pPr>
            <w:r>
              <w:t>(12,497)</w:t>
            </w:r>
          </w:p>
        </w:tc>
        <w:tc>
          <w:tcPr>
            <w:tcW w:w="113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6A55FAC7" w14:textId="77777777" w:rsidR="00DB5DC1" w:rsidRDefault="00DB5DC1" w:rsidP="00DB5DC1">
            <w:pPr>
              <w:pStyle w:val="Accounts-Bracket"/>
            </w:pPr>
            <w:r>
              <w:t>(15,310)</w:t>
            </w:r>
          </w:p>
        </w:tc>
      </w:tr>
      <w:tr w:rsidR="00DB5DC1" w14:paraId="379CE680" w14:textId="77777777">
        <w:tc>
          <w:tcPr>
            <w:tcW w:w="7823" w:type="dxa"/>
            <w:tcBorders>
              <w:top w:val="single" w:sz="2" w:space="0" w:color="FF777C"/>
              <w:left w:val="none" w:sz="8" w:space="0" w:color="auto"/>
              <w:bottom w:val="single" w:sz="6" w:space="0" w:color="FF777C"/>
              <w:right w:val="none" w:sz="8" w:space="0" w:color="auto"/>
            </w:tcBorders>
            <w:tcMar>
              <w:top w:w="56" w:type="dxa"/>
              <w:left w:w="0" w:type="dxa"/>
              <w:bottom w:w="68" w:type="dxa"/>
              <w:right w:w="0" w:type="dxa"/>
            </w:tcMar>
            <w:vAlign w:val="bottom"/>
          </w:tcPr>
          <w:p w14:paraId="4D082632" w14:textId="77777777" w:rsidR="00DB5DC1" w:rsidRDefault="00DB5DC1" w:rsidP="00DB5DC1">
            <w:pPr>
              <w:pStyle w:val="Heading-2"/>
            </w:pPr>
            <w:r>
              <w:t>Profit for the year attributable to owners of the Company</w:t>
            </w:r>
          </w:p>
        </w:tc>
        <w:tc>
          <w:tcPr>
            <w:tcW w:w="1133" w:type="dxa"/>
            <w:tcBorders>
              <w:top w:val="single" w:sz="2" w:space="0" w:color="FF777C"/>
              <w:left w:val="none" w:sz="8" w:space="0" w:color="auto"/>
              <w:bottom w:val="single" w:sz="6" w:space="0" w:color="FF777C"/>
              <w:right w:val="none" w:sz="8" w:space="0" w:color="auto"/>
            </w:tcBorders>
            <w:tcMar>
              <w:top w:w="56" w:type="dxa"/>
              <w:left w:w="0" w:type="dxa"/>
              <w:bottom w:w="68" w:type="dxa"/>
              <w:right w:w="0" w:type="dxa"/>
            </w:tcMar>
            <w:vAlign w:val="bottom"/>
          </w:tcPr>
          <w:p w14:paraId="4CAE1F42" w14:textId="1B1C437E" w:rsidR="00DB5DC1" w:rsidRDefault="00DB5DC1" w:rsidP="00DB5DC1">
            <w:pPr>
              <w:pStyle w:val="AccountsBold"/>
            </w:pPr>
            <w:r>
              <w:t>78,741</w:t>
            </w:r>
          </w:p>
        </w:tc>
        <w:tc>
          <w:tcPr>
            <w:tcW w:w="113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4EF211AD" w14:textId="77777777" w:rsidR="00DB5DC1" w:rsidRDefault="00DB5DC1" w:rsidP="00DB5DC1">
            <w:pPr>
              <w:pStyle w:val="Accounts"/>
            </w:pPr>
            <w:r>
              <w:t>90,222</w:t>
            </w:r>
          </w:p>
        </w:tc>
      </w:tr>
    </w:tbl>
    <w:p w14:paraId="19438F60" w14:textId="77777777" w:rsidR="0062640D" w:rsidRDefault="0062640D"/>
    <w:p w14:paraId="4FE0054E" w14:textId="77777777" w:rsidR="0062640D" w:rsidRDefault="00C12A80">
      <w:r>
        <w:t xml:space="preserve">Group EBITDA represents earnings before interest on lease liabilities, other interest and finance costs, tax, depreciation of property, plant and equipment and right-of-use assets and amortisation of intangible assets. </w:t>
      </w:r>
    </w:p>
    <w:p w14:paraId="60385A59" w14:textId="77777777" w:rsidR="0062640D" w:rsidRDefault="0062640D"/>
    <w:p w14:paraId="6CEF0071" w14:textId="77777777" w:rsidR="0062640D" w:rsidRDefault="00C12A80">
      <w:r>
        <w:t xml:space="preserve">Adjusted EBITDA is presented as an alternative performance measure to show the underlying operating performance of the Group excluding items which are not reflective of normal trading activities or distort comparability either year on year or with other similar businesses. Consequently, Adjusted EBITDA represents Group EBITDA before: </w:t>
      </w:r>
    </w:p>
    <w:p w14:paraId="01C4A1B1" w14:textId="517F593D" w:rsidR="00585F2A" w:rsidRDefault="00585F2A" w:rsidP="00585F2A">
      <w:pPr>
        <w:pStyle w:val="List-Unordered"/>
      </w:pPr>
      <w:r w:rsidRPr="00DB33DA">
        <w:t>Impairment reversal relating to right-of-use assets</w:t>
      </w:r>
      <w:r w:rsidRPr="00DB33DA" w:rsidDel="00DB33DA">
        <w:t xml:space="preserve"> </w:t>
      </w:r>
      <w:r>
        <w:t>(</w:t>
      </w:r>
      <w:hyperlink w:anchor="note-14" w:history="1">
        <w:r w:rsidRPr="001D58A0">
          <w:rPr>
            <w:rStyle w:val="Hyperlink"/>
          </w:rPr>
          <w:t>note 14</w:t>
        </w:r>
      </w:hyperlink>
      <w:r>
        <w:t>);</w:t>
      </w:r>
    </w:p>
    <w:p w14:paraId="6F7BBEA4" w14:textId="36AB8C3B" w:rsidR="00585F2A" w:rsidRDefault="00585F2A" w:rsidP="00585F2A">
      <w:pPr>
        <w:pStyle w:val="List-Unordered"/>
      </w:pPr>
      <w:r w:rsidRPr="00390462">
        <w:t>Impairment charge/(reversal) relating to property, plant and equipment through profit and loss</w:t>
      </w:r>
      <w:r w:rsidRPr="00390462" w:rsidDel="00390462">
        <w:t xml:space="preserve"> </w:t>
      </w:r>
      <w:r>
        <w:t>(</w:t>
      </w:r>
      <w:hyperlink w:anchor="note-13" w:history="1">
        <w:r w:rsidRPr="001D58A0">
          <w:rPr>
            <w:rStyle w:val="Hyperlink"/>
          </w:rPr>
          <w:t>note 13</w:t>
        </w:r>
      </w:hyperlink>
      <w:r>
        <w:t>);</w:t>
      </w:r>
    </w:p>
    <w:p w14:paraId="794D9462" w14:textId="2DE892B2" w:rsidR="00585F2A" w:rsidRDefault="00585F2A" w:rsidP="00585F2A">
      <w:pPr>
        <w:pStyle w:val="List-Unordered"/>
      </w:pPr>
      <w:r w:rsidRPr="0012496D">
        <w:t>Impairment charge relating to investment property</w:t>
      </w:r>
      <w:r>
        <w:t>;</w:t>
      </w:r>
    </w:p>
    <w:p w14:paraId="34861CF2" w14:textId="66233715" w:rsidR="0062640D" w:rsidRDefault="00C12A80">
      <w:pPr>
        <w:pStyle w:val="List-Unordered"/>
      </w:pPr>
      <w:r>
        <w:t>Hotel pre-opening expenses, which relate primarily to payroll expenses, sales and marketing costs and training costs of new staff, that are incurred by the Group in advance of new hotel openings (</w:t>
      </w:r>
      <w:hyperlink w:anchor="note-4" w:history="1">
        <w:r w:rsidRPr="001D58A0">
          <w:rPr>
            <w:rStyle w:val="Hyperlink"/>
          </w:rPr>
          <w:t>note 4</w:t>
        </w:r>
      </w:hyperlink>
      <w:r>
        <w:t>); and</w:t>
      </w:r>
    </w:p>
    <w:p w14:paraId="181133F4" w14:textId="2A2AD750" w:rsidR="0062640D" w:rsidRDefault="00C12A80">
      <w:pPr>
        <w:pStyle w:val="List-Unordered"/>
      </w:pPr>
      <w:r>
        <w:t>Acquisition-related costs (</w:t>
      </w:r>
      <w:hyperlink w:anchor="note-4" w:history="1">
        <w:r w:rsidRPr="001D58A0">
          <w:rPr>
            <w:rStyle w:val="Hyperlink"/>
          </w:rPr>
          <w:t>note 4</w:t>
        </w:r>
      </w:hyperlink>
      <w:r>
        <w:t xml:space="preserve">). </w:t>
      </w:r>
    </w:p>
    <w:p w14:paraId="6702C86B" w14:textId="77777777" w:rsidR="0062640D" w:rsidRDefault="0062640D"/>
    <w:p w14:paraId="6EE1AADD" w14:textId="7733F55D" w:rsidR="00565E9B" w:rsidRPr="006B0F6B" w:rsidRDefault="00565E9B" w:rsidP="00565E9B">
      <w:r w:rsidRPr="006B0F6B">
        <w:t>The line item ‘central costs’ includes costs of the Group’s central functions including operations support, technology, sales and marketing, human resources, finance, corporate services and business development. Also included in central costs is the present value discounting of insurance provisions of €0.1 million (2023: unwinding of the discount on insurance provisions of €0.3 million) and the net reversal of prior period insurance provisions of €1.0 million (2023: €0.9 million) (</w:t>
      </w:r>
      <w:hyperlink w:anchor="note-21" w:history="1">
        <w:r w:rsidRPr="001D58A0">
          <w:rPr>
            <w:rStyle w:val="Hyperlink"/>
          </w:rPr>
          <w:t>note 21</w:t>
        </w:r>
      </w:hyperlink>
      <w:r w:rsidRPr="006B0F6B">
        <w:t>). Share-based payments expense is presented separately from central costs as this expense relates to employees across the Group (</w:t>
      </w:r>
      <w:hyperlink w:anchor="note-7" w:history="1">
        <w:r w:rsidRPr="001D58A0">
          <w:rPr>
            <w:rStyle w:val="Hyperlink"/>
          </w:rPr>
          <w:t>note 7</w:t>
        </w:r>
      </w:hyperlink>
      <w:r w:rsidRPr="006B0F6B">
        <w:t>).</w:t>
      </w:r>
    </w:p>
    <w:p w14:paraId="6676495D" w14:textId="77777777" w:rsidR="0062640D" w:rsidRDefault="0062640D"/>
    <w:p w14:paraId="62E95BF6" w14:textId="77777777" w:rsidR="0062640D" w:rsidRDefault="00C12A80">
      <w:r>
        <w:t xml:space="preserve">‘Segmental results – EBITDA’ for Dublin, Regional Ireland, the UK and Continental Europe represents the ‘Adjusted EBITDA’ for each geographical location before central costs, share-based payments expense and other income. It is the net operational contribution of leased and owned hotels in each geographical location. </w:t>
      </w:r>
    </w:p>
    <w:p w14:paraId="2D79CAC7" w14:textId="77777777" w:rsidR="0062640D" w:rsidRDefault="0062640D"/>
    <w:p w14:paraId="3465090A" w14:textId="780D78B3" w:rsidR="0062640D" w:rsidRDefault="00C12A80">
      <w:r>
        <w:t>‘Segmental results – EBITDAR’ for Dublin, Regional Ireland, the UK and Continental Europe represents ‘Segmental results – EBITDA’ before variable lease costs</w:t>
      </w:r>
      <w:r w:rsidR="00695FDF">
        <w:t xml:space="preserve"> (</w:t>
      </w:r>
      <w:hyperlink w:anchor="note-30" w:history="1">
        <w:r w:rsidR="00695FDF" w:rsidRPr="001D58A0">
          <w:rPr>
            <w:rStyle w:val="Hyperlink"/>
          </w:rPr>
          <w:t>note 30</w:t>
        </w:r>
      </w:hyperlink>
      <w:r w:rsidR="00695FDF">
        <w:t>)</w:t>
      </w:r>
      <w:r>
        <w:t xml:space="preserve">. </w:t>
      </w:r>
    </w:p>
    <w:p w14:paraId="231888D2" w14:textId="77777777" w:rsidR="0062640D" w:rsidRDefault="0062640D"/>
    <w:p w14:paraId="7F459F00" w14:textId="77777777" w:rsidR="0062640D" w:rsidRDefault="00C12A80">
      <w:pPr>
        <w:pStyle w:val="Heading-2"/>
      </w:pPr>
      <w:r>
        <w:t>Disaggregated revenue information</w:t>
      </w:r>
    </w:p>
    <w:p w14:paraId="2CF1C47A" w14:textId="77777777" w:rsidR="0062640D" w:rsidRDefault="00C12A80">
      <w:r>
        <w:t>Disaggregated segmental revenue is reported in the same way as it is reviewed and analysed internally by the chief operating decision makers, primarily, the Executive Directors. The key components of revenue reviewed by the chief operating decision makers are:</w:t>
      </w:r>
    </w:p>
    <w:p w14:paraId="520B515D" w14:textId="77777777" w:rsidR="0062640D" w:rsidRDefault="0062640D"/>
    <w:p w14:paraId="173D3CD9" w14:textId="77777777" w:rsidR="0062640D" w:rsidRDefault="00C12A80">
      <w:pPr>
        <w:pStyle w:val="List-Unordered"/>
      </w:pPr>
      <w:r>
        <w:t>Room revenue which relates to the rental of rooms in each hotel. Revenue is recognised when the hotel room is occupied, and the service is provided;</w:t>
      </w:r>
    </w:p>
    <w:p w14:paraId="2353FF11" w14:textId="77777777" w:rsidR="0062640D" w:rsidRDefault="00C12A80">
      <w:pPr>
        <w:pStyle w:val="List-Unordered"/>
      </w:pPr>
      <w:r>
        <w:t>Food and beverage revenue which relates to sales of food and beverages at the hotel property. Revenue is recognised at the point of sale; and</w:t>
      </w:r>
    </w:p>
    <w:p w14:paraId="686CE56C" w14:textId="77777777" w:rsidR="0062640D" w:rsidRDefault="00C12A80">
      <w:pPr>
        <w:pStyle w:val="List-Unordered"/>
      </w:pPr>
      <w:r>
        <w:t>Other revenue includes revenue from leisure centres, car parks, meeting room hire and other revenue sources at the hotels. Leisure centre revenue is recognised over the life of the membership while the other items are recognised when the service is provided.</w:t>
      </w:r>
    </w:p>
    <w:p w14:paraId="34AA4D8E" w14:textId="77777777" w:rsidR="0062640D" w:rsidRDefault="0062640D"/>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7823"/>
        <w:gridCol w:w="1133"/>
        <w:gridCol w:w="1133"/>
      </w:tblGrid>
      <w:tr w:rsidR="0062640D" w14:paraId="70972C34" w14:textId="77777777">
        <w:tc>
          <w:tcPr>
            <w:tcW w:w="7823" w:type="dxa"/>
            <w:tcBorders>
              <w:top w:val="nil"/>
              <w:left w:val="nil"/>
              <w:bottom w:val="single" w:sz="6" w:space="0" w:color="FF777C"/>
              <w:right w:val="nil"/>
            </w:tcBorders>
            <w:tcMar>
              <w:top w:w="45" w:type="dxa"/>
              <w:left w:w="0" w:type="dxa"/>
              <w:bottom w:w="56" w:type="dxa"/>
              <w:right w:w="0" w:type="dxa"/>
            </w:tcMar>
            <w:vAlign w:val="bottom"/>
          </w:tcPr>
          <w:p w14:paraId="046E1AF4" w14:textId="77777777" w:rsidR="0062640D" w:rsidRDefault="00C12A80">
            <w:pPr>
              <w:pStyle w:val="Table-Headings"/>
              <w:jc w:val="left"/>
            </w:pPr>
            <w:r>
              <w:t>Revenue review by segment – Dublin</w:t>
            </w:r>
          </w:p>
        </w:tc>
        <w:tc>
          <w:tcPr>
            <w:tcW w:w="1133" w:type="dxa"/>
            <w:tcBorders>
              <w:top w:val="nil"/>
              <w:left w:val="nil"/>
              <w:bottom w:val="single" w:sz="6" w:space="0" w:color="FF777C"/>
              <w:right w:val="nil"/>
            </w:tcBorders>
            <w:tcMar>
              <w:top w:w="45" w:type="dxa"/>
              <w:left w:w="0" w:type="dxa"/>
              <w:bottom w:w="56" w:type="dxa"/>
              <w:right w:w="0" w:type="dxa"/>
            </w:tcMar>
            <w:vAlign w:val="bottom"/>
          </w:tcPr>
          <w:p w14:paraId="0F0CB85E" w14:textId="77777777" w:rsidR="0062640D" w:rsidRDefault="00C12A80">
            <w:pPr>
              <w:pStyle w:val="Table-Headings"/>
            </w:pPr>
            <w:r>
              <w:t>2024</w:t>
            </w:r>
          </w:p>
          <w:p w14:paraId="7609AAB0" w14:textId="77777777" w:rsidR="0062640D" w:rsidRDefault="00C12A80">
            <w:pPr>
              <w:pStyle w:val="Table-Headings"/>
            </w:pPr>
            <w:r>
              <w:t>€’000</w:t>
            </w:r>
          </w:p>
        </w:tc>
        <w:tc>
          <w:tcPr>
            <w:tcW w:w="1133" w:type="dxa"/>
            <w:tcBorders>
              <w:top w:val="nil"/>
              <w:left w:val="nil"/>
              <w:bottom w:val="single" w:sz="6" w:space="0" w:color="FF777C"/>
              <w:right w:val="nil"/>
            </w:tcBorders>
            <w:tcMar>
              <w:top w:w="56" w:type="dxa"/>
              <w:left w:w="0" w:type="dxa"/>
              <w:bottom w:w="56" w:type="dxa"/>
              <w:right w:w="0" w:type="dxa"/>
            </w:tcMar>
            <w:vAlign w:val="bottom"/>
          </w:tcPr>
          <w:p w14:paraId="6BE61925" w14:textId="77777777" w:rsidR="0062640D" w:rsidRDefault="00C12A80">
            <w:pPr>
              <w:pStyle w:val="Table-Headings"/>
            </w:pPr>
            <w:r>
              <w:t>2023</w:t>
            </w:r>
          </w:p>
          <w:p w14:paraId="755FA057" w14:textId="77777777" w:rsidR="0062640D" w:rsidRDefault="00C12A80">
            <w:pPr>
              <w:pStyle w:val="Table-Headings"/>
            </w:pPr>
            <w:r>
              <w:t>€’000</w:t>
            </w:r>
          </w:p>
        </w:tc>
      </w:tr>
      <w:tr w:rsidR="0062640D" w14:paraId="2CA03F78" w14:textId="77777777">
        <w:tc>
          <w:tcPr>
            <w:tcW w:w="782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7287B7CE" w14:textId="77777777" w:rsidR="0062640D" w:rsidRDefault="00C12A80">
            <w:r>
              <w:t>Room revenue</w:t>
            </w:r>
          </w:p>
        </w:tc>
        <w:tc>
          <w:tcPr>
            <w:tcW w:w="113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5BA34FD9" w14:textId="77777777" w:rsidR="0062640D" w:rsidRDefault="00C12A80">
            <w:pPr>
              <w:pStyle w:val="AccountsBold"/>
            </w:pPr>
            <w:r>
              <w:t>214,644</w:t>
            </w:r>
          </w:p>
        </w:tc>
        <w:tc>
          <w:tcPr>
            <w:tcW w:w="113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233B14F8" w14:textId="77777777" w:rsidR="0062640D" w:rsidRDefault="00C12A80">
            <w:pPr>
              <w:pStyle w:val="Accounts"/>
            </w:pPr>
            <w:r>
              <w:t>216,948</w:t>
            </w:r>
          </w:p>
        </w:tc>
      </w:tr>
      <w:tr w:rsidR="0062640D" w14:paraId="7C81211E"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AAF9C1D" w14:textId="77777777" w:rsidR="0062640D" w:rsidRDefault="00C12A80">
            <w:r>
              <w:t>Food and beverage revenue</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5E04BCE1" w14:textId="77777777" w:rsidR="0062640D" w:rsidRDefault="00C12A80">
            <w:pPr>
              <w:pStyle w:val="AccountsBold"/>
            </w:pPr>
            <w:r>
              <w:t>51,938</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76CEF45A" w14:textId="77777777" w:rsidR="0062640D" w:rsidRDefault="00C12A80">
            <w:pPr>
              <w:pStyle w:val="Accounts"/>
            </w:pPr>
            <w:r>
              <w:t>51,263</w:t>
            </w:r>
          </w:p>
        </w:tc>
      </w:tr>
      <w:tr w:rsidR="0062640D" w14:paraId="5BE5AFEE" w14:textId="77777777">
        <w:tc>
          <w:tcPr>
            <w:tcW w:w="782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00E088D8" w14:textId="77777777" w:rsidR="0062640D" w:rsidRDefault="00C12A80">
            <w:r>
              <w:t xml:space="preserve">Other revenue </w:t>
            </w:r>
          </w:p>
        </w:tc>
        <w:tc>
          <w:tcPr>
            <w:tcW w:w="113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40EE6D35" w14:textId="77777777" w:rsidR="0062640D" w:rsidRDefault="00C12A80">
            <w:pPr>
              <w:pStyle w:val="AccountsBold"/>
            </w:pPr>
            <w:r>
              <w:t>17,211</w:t>
            </w:r>
          </w:p>
        </w:tc>
        <w:tc>
          <w:tcPr>
            <w:tcW w:w="113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15E06093" w14:textId="77777777" w:rsidR="0062640D" w:rsidRDefault="00C12A80">
            <w:pPr>
              <w:pStyle w:val="Accounts"/>
            </w:pPr>
            <w:r>
              <w:t>17,919</w:t>
            </w:r>
          </w:p>
        </w:tc>
      </w:tr>
      <w:tr w:rsidR="0062640D" w14:paraId="3344AE27" w14:textId="77777777">
        <w:tc>
          <w:tcPr>
            <w:tcW w:w="782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159B3713" w14:textId="77777777" w:rsidR="0062640D" w:rsidRDefault="00C12A80">
            <w:pPr>
              <w:pStyle w:val="Heading-2"/>
            </w:pPr>
            <w:r>
              <w:t xml:space="preserve">Total revenue </w:t>
            </w:r>
          </w:p>
        </w:tc>
        <w:tc>
          <w:tcPr>
            <w:tcW w:w="113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7E9C7FCF" w14:textId="77777777" w:rsidR="0062640D" w:rsidRDefault="00C12A80">
            <w:pPr>
              <w:pStyle w:val="AccountsBold"/>
            </w:pPr>
            <w:r>
              <w:t>283,793</w:t>
            </w:r>
          </w:p>
        </w:tc>
        <w:tc>
          <w:tcPr>
            <w:tcW w:w="113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54E012F9" w14:textId="77777777" w:rsidR="0062640D" w:rsidRDefault="00C12A80">
            <w:pPr>
              <w:pStyle w:val="Accounts"/>
            </w:pPr>
            <w:r>
              <w:t>286,130</w:t>
            </w:r>
          </w:p>
        </w:tc>
      </w:tr>
    </w:tbl>
    <w:p w14:paraId="6CD9E3E2" w14:textId="77777777" w:rsidR="0062640D" w:rsidRDefault="0062640D"/>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7823"/>
        <w:gridCol w:w="1133"/>
        <w:gridCol w:w="1133"/>
      </w:tblGrid>
      <w:tr w:rsidR="0062640D" w14:paraId="131E2F85" w14:textId="77777777">
        <w:tc>
          <w:tcPr>
            <w:tcW w:w="7823" w:type="dxa"/>
            <w:tcBorders>
              <w:top w:val="nil"/>
              <w:left w:val="nil"/>
              <w:bottom w:val="single" w:sz="6" w:space="0" w:color="FF777C"/>
              <w:right w:val="nil"/>
            </w:tcBorders>
            <w:tcMar>
              <w:top w:w="45" w:type="dxa"/>
              <w:left w:w="0" w:type="dxa"/>
              <w:bottom w:w="56" w:type="dxa"/>
              <w:right w:w="0" w:type="dxa"/>
            </w:tcMar>
            <w:vAlign w:val="bottom"/>
          </w:tcPr>
          <w:p w14:paraId="7E084D82" w14:textId="77777777" w:rsidR="0062640D" w:rsidRDefault="00C12A80">
            <w:pPr>
              <w:pStyle w:val="Table-Headings"/>
              <w:jc w:val="left"/>
            </w:pPr>
            <w:r>
              <w:t>Revenue review by segment – Regional Ireland</w:t>
            </w:r>
          </w:p>
        </w:tc>
        <w:tc>
          <w:tcPr>
            <w:tcW w:w="1133" w:type="dxa"/>
            <w:tcBorders>
              <w:top w:val="nil"/>
              <w:left w:val="nil"/>
              <w:bottom w:val="single" w:sz="6" w:space="0" w:color="FF777C"/>
              <w:right w:val="nil"/>
            </w:tcBorders>
            <w:tcMar>
              <w:top w:w="45" w:type="dxa"/>
              <w:left w:w="0" w:type="dxa"/>
              <w:bottom w:w="56" w:type="dxa"/>
              <w:right w:w="0" w:type="dxa"/>
            </w:tcMar>
            <w:vAlign w:val="bottom"/>
          </w:tcPr>
          <w:p w14:paraId="1F927089" w14:textId="77777777" w:rsidR="0062640D" w:rsidRDefault="00C12A80">
            <w:pPr>
              <w:pStyle w:val="Table-Headings"/>
            </w:pPr>
            <w:r>
              <w:t>2024</w:t>
            </w:r>
          </w:p>
          <w:p w14:paraId="4FF3F86F" w14:textId="77777777" w:rsidR="0062640D" w:rsidRDefault="00C12A80">
            <w:pPr>
              <w:pStyle w:val="Table-Headings"/>
            </w:pPr>
            <w:r>
              <w:t>€’000</w:t>
            </w:r>
          </w:p>
        </w:tc>
        <w:tc>
          <w:tcPr>
            <w:tcW w:w="1133" w:type="dxa"/>
            <w:tcBorders>
              <w:top w:val="nil"/>
              <w:left w:val="nil"/>
              <w:bottom w:val="single" w:sz="6" w:space="0" w:color="FF777C"/>
              <w:right w:val="nil"/>
            </w:tcBorders>
            <w:tcMar>
              <w:top w:w="56" w:type="dxa"/>
              <w:left w:w="0" w:type="dxa"/>
              <w:bottom w:w="56" w:type="dxa"/>
              <w:right w:w="0" w:type="dxa"/>
            </w:tcMar>
            <w:vAlign w:val="bottom"/>
          </w:tcPr>
          <w:p w14:paraId="5D8E8ACC" w14:textId="77777777" w:rsidR="0062640D" w:rsidRDefault="00C12A80">
            <w:pPr>
              <w:pStyle w:val="Table-Headings"/>
            </w:pPr>
            <w:r>
              <w:t>2023</w:t>
            </w:r>
          </w:p>
          <w:p w14:paraId="406F9118" w14:textId="77777777" w:rsidR="0062640D" w:rsidRDefault="00C12A80">
            <w:pPr>
              <w:pStyle w:val="Table-Headings"/>
            </w:pPr>
            <w:r>
              <w:t>€’000</w:t>
            </w:r>
          </w:p>
        </w:tc>
      </w:tr>
      <w:tr w:rsidR="0062640D" w14:paraId="7FD1CD09" w14:textId="77777777">
        <w:tc>
          <w:tcPr>
            <w:tcW w:w="782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0811C714" w14:textId="77777777" w:rsidR="0062640D" w:rsidRDefault="00C12A80">
            <w:r>
              <w:t>Room revenue</w:t>
            </w:r>
          </w:p>
        </w:tc>
        <w:tc>
          <w:tcPr>
            <w:tcW w:w="113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2D0F01DD" w14:textId="77777777" w:rsidR="0062640D" w:rsidRDefault="00C12A80">
            <w:pPr>
              <w:pStyle w:val="AccountsBold"/>
            </w:pPr>
            <w:r>
              <w:t>72,610</w:t>
            </w:r>
          </w:p>
        </w:tc>
        <w:tc>
          <w:tcPr>
            <w:tcW w:w="113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33C74C95" w14:textId="77777777" w:rsidR="0062640D" w:rsidRDefault="00C12A80">
            <w:pPr>
              <w:pStyle w:val="Accounts"/>
            </w:pPr>
            <w:r>
              <w:t>73,218</w:t>
            </w:r>
          </w:p>
        </w:tc>
      </w:tr>
      <w:tr w:rsidR="0062640D" w14:paraId="5BE5E22F"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2EB3DB77" w14:textId="77777777" w:rsidR="0062640D" w:rsidRDefault="00C12A80">
            <w:r>
              <w:t>Food and beverage revenue</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4F72E2F" w14:textId="77777777" w:rsidR="0062640D" w:rsidRDefault="00C12A80">
            <w:pPr>
              <w:pStyle w:val="AccountsBold"/>
            </w:pPr>
            <w:r>
              <w:t>29,022</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59B3A5A0" w14:textId="77777777" w:rsidR="0062640D" w:rsidRDefault="00C12A80">
            <w:pPr>
              <w:pStyle w:val="Accounts"/>
            </w:pPr>
            <w:r>
              <w:t>30,336</w:t>
            </w:r>
          </w:p>
        </w:tc>
      </w:tr>
      <w:tr w:rsidR="0062640D" w14:paraId="74919741" w14:textId="77777777">
        <w:tc>
          <w:tcPr>
            <w:tcW w:w="782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1D2316F8" w14:textId="77777777" w:rsidR="0062640D" w:rsidRDefault="00C12A80">
            <w:r>
              <w:t>Other revenue</w:t>
            </w:r>
          </w:p>
        </w:tc>
        <w:tc>
          <w:tcPr>
            <w:tcW w:w="113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6634DF2A" w14:textId="77777777" w:rsidR="0062640D" w:rsidRDefault="00C12A80">
            <w:pPr>
              <w:pStyle w:val="AccountsBold"/>
            </w:pPr>
            <w:r>
              <w:t>8,842</w:t>
            </w:r>
          </w:p>
        </w:tc>
        <w:tc>
          <w:tcPr>
            <w:tcW w:w="113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15623B82" w14:textId="77777777" w:rsidR="0062640D" w:rsidRDefault="00C12A80">
            <w:pPr>
              <w:pStyle w:val="Accounts"/>
            </w:pPr>
            <w:r>
              <w:t>8,763</w:t>
            </w:r>
          </w:p>
        </w:tc>
      </w:tr>
      <w:tr w:rsidR="0062640D" w14:paraId="182120EC" w14:textId="77777777">
        <w:tc>
          <w:tcPr>
            <w:tcW w:w="782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10649F30" w14:textId="77777777" w:rsidR="0062640D" w:rsidRDefault="00C12A80">
            <w:pPr>
              <w:pStyle w:val="Heading-2"/>
            </w:pPr>
            <w:r>
              <w:t xml:space="preserve">Total revenue </w:t>
            </w:r>
          </w:p>
        </w:tc>
        <w:tc>
          <w:tcPr>
            <w:tcW w:w="113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7F3BB09A" w14:textId="77777777" w:rsidR="0062640D" w:rsidRDefault="00C12A80">
            <w:pPr>
              <w:pStyle w:val="AccountsBold"/>
            </w:pPr>
            <w:r>
              <w:t>110,474</w:t>
            </w:r>
          </w:p>
        </w:tc>
        <w:tc>
          <w:tcPr>
            <w:tcW w:w="113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2FF2FEAE" w14:textId="77777777" w:rsidR="0062640D" w:rsidRDefault="00C12A80">
            <w:pPr>
              <w:pStyle w:val="Accounts"/>
            </w:pPr>
            <w:r>
              <w:t>112,317</w:t>
            </w:r>
          </w:p>
        </w:tc>
      </w:tr>
    </w:tbl>
    <w:p w14:paraId="49F8AAB1" w14:textId="77777777" w:rsidR="0062640D" w:rsidRDefault="0062640D"/>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7823"/>
        <w:gridCol w:w="1133"/>
        <w:gridCol w:w="1133"/>
      </w:tblGrid>
      <w:tr w:rsidR="0062640D" w14:paraId="3A18E915" w14:textId="77777777">
        <w:tc>
          <w:tcPr>
            <w:tcW w:w="7823" w:type="dxa"/>
            <w:tcBorders>
              <w:top w:val="nil"/>
              <w:left w:val="nil"/>
              <w:bottom w:val="single" w:sz="6" w:space="0" w:color="FF777C"/>
              <w:right w:val="nil"/>
            </w:tcBorders>
            <w:tcMar>
              <w:top w:w="45" w:type="dxa"/>
              <w:left w:w="0" w:type="dxa"/>
              <w:bottom w:w="56" w:type="dxa"/>
              <w:right w:w="0" w:type="dxa"/>
            </w:tcMar>
            <w:vAlign w:val="bottom"/>
          </w:tcPr>
          <w:p w14:paraId="63B9218A" w14:textId="77777777" w:rsidR="0062640D" w:rsidRDefault="00C12A80">
            <w:pPr>
              <w:pStyle w:val="Table-Headings"/>
              <w:jc w:val="left"/>
            </w:pPr>
            <w:r>
              <w:t>Revenue review by segment – UK</w:t>
            </w:r>
          </w:p>
        </w:tc>
        <w:tc>
          <w:tcPr>
            <w:tcW w:w="1133" w:type="dxa"/>
            <w:tcBorders>
              <w:top w:val="nil"/>
              <w:left w:val="nil"/>
              <w:bottom w:val="single" w:sz="6" w:space="0" w:color="FF777C"/>
              <w:right w:val="nil"/>
            </w:tcBorders>
            <w:tcMar>
              <w:top w:w="45" w:type="dxa"/>
              <w:left w:w="0" w:type="dxa"/>
              <w:bottom w:w="56" w:type="dxa"/>
              <w:right w:w="0" w:type="dxa"/>
            </w:tcMar>
            <w:vAlign w:val="bottom"/>
          </w:tcPr>
          <w:p w14:paraId="504891C9" w14:textId="77777777" w:rsidR="0062640D" w:rsidRDefault="00C12A80">
            <w:pPr>
              <w:pStyle w:val="Table-Headings"/>
            </w:pPr>
            <w:r>
              <w:t>2024</w:t>
            </w:r>
          </w:p>
          <w:p w14:paraId="0B0DA005" w14:textId="77777777" w:rsidR="0062640D" w:rsidRDefault="00C12A80">
            <w:pPr>
              <w:pStyle w:val="Table-Headings"/>
            </w:pPr>
            <w:r>
              <w:t>€’000</w:t>
            </w:r>
          </w:p>
        </w:tc>
        <w:tc>
          <w:tcPr>
            <w:tcW w:w="1133" w:type="dxa"/>
            <w:tcBorders>
              <w:top w:val="nil"/>
              <w:left w:val="nil"/>
              <w:bottom w:val="single" w:sz="6" w:space="0" w:color="FF777C"/>
              <w:right w:val="nil"/>
            </w:tcBorders>
            <w:tcMar>
              <w:top w:w="56" w:type="dxa"/>
              <w:left w:w="0" w:type="dxa"/>
              <w:bottom w:w="56" w:type="dxa"/>
              <w:right w:w="0" w:type="dxa"/>
            </w:tcMar>
            <w:vAlign w:val="bottom"/>
          </w:tcPr>
          <w:p w14:paraId="24C084AF" w14:textId="77777777" w:rsidR="0062640D" w:rsidRDefault="00C12A80">
            <w:pPr>
              <w:pStyle w:val="Table-Headings"/>
            </w:pPr>
            <w:r>
              <w:t>2023</w:t>
            </w:r>
          </w:p>
          <w:p w14:paraId="08AEEF24" w14:textId="77777777" w:rsidR="0062640D" w:rsidRDefault="00C12A80">
            <w:pPr>
              <w:pStyle w:val="Table-Headings"/>
            </w:pPr>
            <w:r>
              <w:t>€’000</w:t>
            </w:r>
          </w:p>
        </w:tc>
      </w:tr>
      <w:tr w:rsidR="0062640D" w14:paraId="4376FC73" w14:textId="77777777">
        <w:tc>
          <w:tcPr>
            <w:tcW w:w="782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68B29C86" w14:textId="77777777" w:rsidR="0062640D" w:rsidRDefault="00C12A80">
            <w:r>
              <w:t>Room revenue</w:t>
            </w:r>
          </w:p>
        </w:tc>
        <w:tc>
          <w:tcPr>
            <w:tcW w:w="113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272BAEFA" w14:textId="77777777" w:rsidR="0062640D" w:rsidRDefault="00C12A80">
            <w:pPr>
              <w:pStyle w:val="AccountsBold"/>
            </w:pPr>
            <w:r>
              <w:t>176,996</w:t>
            </w:r>
          </w:p>
        </w:tc>
        <w:tc>
          <w:tcPr>
            <w:tcW w:w="113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51E46EAE" w14:textId="77777777" w:rsidR="0062640D" w:rsidRDefault="00C12A80">
            <w:pPr>
              <w:pStyle w:val="Accounts"/>
            </w:pPr>
            <w:r>
              <w:t>146,584</w:t>
            </w:r>
          </w:p>
        </w:tc>
      </w:tr>
      <w:tr w:rsidR="0062640D" w14:paraId="70DB1966"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6BFAF8E" w14:textId="77777777" w:rsidR="0062640D" w:rsidRDefault="00C12A80">
            <w:r>
              <w:t>Food and beverage revenue</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2BEA404" w14:textId="77777777" w:rsidR="0062640D" w:rsidRDefault="00C12A80">
            <w:pPr>
              <w:pStyle w:val="AccountsBold"/>
            </w:pPr>
            <w:r>
              <w:t>34,394</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26A70798" w14:textId="77777777" w:rsidR="0062640D" w:rsidRDefault="00C12A80">
            <w:pPr>
              <w:pStyle w:val="Accounts"/>
            </w:pPr>
            <w:r>
              <w:t>30,491</w:t>
            </w:r>
          </w:p>
        </w:tc>
      </w:tr>
      <w:tr w:rsidR="0062640D" w14:paraId="5F323EF4" w14:textId="77777777">
        <w:tc>
          <w:tcPr>
            <w:tcW w:w="782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206A4D53" w14:textId="77777777" w:rsidR="0062640D" w:rsidRDefault="00C12A80">
            <w:r>
              <w:t xml:space="preserve">Other revenue </w:t>
            </w:r>
          </w:p>
        </w:tc>
        <w:tc>
          <w:tcPr>
            <w:tcW w:w="113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292538F4" w14:textId="77777777" w:rsidR="0062640D" w:rsidRDefault="00C12A80">
            <w:pPr>
              <w:pStyle w:val="AccountsBold"/>
            </w:pPr>
            <w:r>
              <w:t>9,423</w:t>
            </w:r>
          </w:p>
        </w:tc>
        <w:tc>
          <w:tcPr>
            <w:tcW w:w="113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1406AD47" w14:textId="77777777" w:rsidR="0062640D" w:rsidRDefault="00C12A80">
            <w:pPr>
              <w:pStyle w:val="Accounts"/>
            </w:pPr>
            <w:r>
              <w:t>9,217</w:t>
            </w:r>
          </w:p>
        </w:tc>
      </w:tr>
      <w:tr w:rsidR="0062640D" w14:paraId="3FFE5E5A" w14:textId="77777777">
        <w:tc>
          <w:tcPr>
            <w:tcW w:w="782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25A5FF64" w14:textId="77777777" w:rsidR="0062640D" w:rsidRDefault="00C12A80">
            <w:pPr>
              <w:pStyle w:val="Heading-2"/>
            </w:pPr>
            <w:r>
              <w:t xml:space="preserve">Total revenue </w:t>
            </w:r>
          </w:p>
        </w:tc>
        <w:tc>
          <w:tcPr>
            <w:tcW w:w="113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6C43769E" w14:textId="77777777" w:rsidR="0062640D" w:rsidRDefault="00C12A80">
            <w:pPr>
              <w:pStyle w:val="AccountsBold"/>
            </w:pPr>
            <w:r>
              <w:t>220,813</w:t>
            </w:r>
          </w:p>
        </w:tc>
        <w:tc>
          <w:tcPr>
            <w:tcW w:w="113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732A7CB0" w14:textId="77777777" w:rsidR="0062640D" w:rsidRDefault="00C12A80">
            <w:pPr>
              <w:pStyle w:val="Accounts"/>
            </w:pPr>
            <w:r>
              <w:t>186,292</w:t>
            </w:r>
          </w:p>
        </w:tc>
      </w:tr>
    </w:tbl>
    <w:p w14:paraId="1C768AA0" w14:textId="77777777" w:rsidR="0062640D" w:rsidRDefault="0062640D"/>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7823"/>
        <w:gridCol w:w="1133"/>
        <w:gridCol w:w="1133"/>
      </w:tblGrid>
      <w:tr w:rsidR="0062640D" w14:paraId="7B017E88" w14:textId="77777777">
        <w:tc>
          <w:tcPr>
            <w:tcW w:w="7823" w:type="dxa"/>
            <w:tcBorders>
              <w:top w:val="nil"/>
              <w:left w:val="nil"/>
              <w:bottom w:val="single" w:sz="6" w:space="0" w:color="FF777C"/>
              <w:right w:val="nil"/>
            </w:tcBorders>
            <w:tcMar>
              <w:top w:w="45" w:type="dxa"/>
              <w:left w:w="0" w:type="dxa"/>
              <w:bottom w:w="56" w:type="dxa"/>
              <w:right w:w="0" w:type="dxa"/>
            </w:tcMar>
            <w:vAlign w:val="bottom"/>
          </w:tcPr>
          <w:p w14:paraId="0AB0CD22" w14:textId="77777777" w:rsidR="0062640D" w:rsidRDefault="00C12A80">
            <w:pPr>
              <w:pStyle w:val="Table-Headings"/>
              <w:jc w:val="left"/>
            </w:pPr>
            <w:r>
              <w:t>Revenue review by segment – Continental Europe</w:t>
            </w:r>
          </w:p>
        </w:tc>
        <w:tc>
          <w:tcPr>
            <w:tcW w:w="1133" w:type="dxa"/>
            <w:tcBorders>
              <w:top w:val="nil"/>
              <w:left w:val="nil"/>
              <w:bottom w:val="single" w:sz="6" w:space="0" w:color="FF777C"/>
              <w:right w:val="nil"/>
            </w:tcBorders>
            <w:tcMar>
              <w:top w:w="45" w:type="dxa"/>
              <w:left w:w="0" w:type="dxa"/>
              <w:bottom w:w="56" w:type="dxa"/>
              <w:right w:w="0" w:type="dxa"/>
            </w:tcMar>
            <w:vAlign w:val="bottom"/>
          </w:tcPr>
          <w:p w14:paraId="3BBA3CE3" w14:textId="77777777" w:rsidR="0062640D" w:rsidRDefault="00C12A80">
            <w:pPr>
              <w:pStyle w:val="Table-Headings"/>
            </w:pPr>
            <w:r>
              <w:t>2024</w:t>
            </w:r>
          </w:p>
          <w:p w14:paraId="72BE9865" w14:textId="77777777" w:rsidR="0062640D" w:rsidRDefault="00C12A80">
            <w:pPr>
              <w:pStyle w:val="Table-Headings"/>
            </w:pPr>
            <w:r>
              <w:t>€’000</w:t>
            </w:r>
          </w:p>
        </w:tc>
        <w:tc>
          <w:tcPr>
            <w:tcW w:w="1133" w:type="dxa"/>
            <w:tcBorders>
              <w:top w:val="nil"/>
              <w:left w:val="nil"/>
              <w:bottom w:val="single" w:sz="6" w:space="0" w:color="FF777C"/>
              <w:right w:val="nil"/>
            </w:tcBorders>
            <w:tcMar>
              <w:top w:w="56" w:type="dxa"/>
              <w:left w:w="0" w:type="dxa"/>
              <w:bottom w:w="56" w:type="dxa"/>
              <w:right w:w="0" w:type="dxa"/>
            </w:tcMar>
            <w:vAlign w:val="bottom"/>
          </w:tcPr>
          <w:p w14:paraId="14E942EB" w14:textId="77777777" w:rsidR="0062640D" w:rsidRDefault="00C12A80">
            <w:pPr>
              <w:pStyle w:val="Table-Headings"/>
            </w:pPr>
            <w:r>
              <w:t>2023</w:t>
            </w:r>
          </w:p>
          <w:p w14:paraId="53B8FE52" w14:textId="77777777" w:rsidR="0062640D" w:rsidRDefault="00C12A80">
            <w:pPr>
              <w:pStyle w:val="Table-Headings"/>
            </w:pPr>
            <w:r>
              <w:t>€’000</w:t>
            </w:r>
          </w:p>
        </w:tc>
      </w:tr>
      <w:tr w:rsidR="0062640D" w14:paraId="622C73FA" w14:textId="77777777">
        <w:tc>
          <w:tcPr>
            <w:tcW w:w="782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03601315" w14:textId="77777777" w:rsidR="0062640D" w:rsidRDefault="00C12A80">
            <w:r>
              <w:t>Room revenue</w:t>
            </w:r>
          </w:p>
        </w:tc>
        <w:tc>
          <w:tcPr>
            <w:tcW w:w="113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17C8C0DB" w14:textId="77777777" w:rsidR="0062640D" w:rsidRDefault="00C12A80">
            <w:pPr>
              <w:pStyle w:val="AccountsBold"/>
            </w:pPr>
            <w:r>
              <w:t>26,989</w:t>
            </w:r>
          </w:p>
        </w:tc>
        <w:tc>
          <w:tcPr>
            <w:tcW w:w="113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0B9B5C31" w14:textId="77777777" w:rsidR="0062640D" w:rsidRDefault="00C12A80">
            <w:pPr>
              <w:pStyle w:val="Accounts"/>
            </w:pPr>
            <w:r>
              <w:t>16,353</w:t>
            </w:r>
          </w:p>
        </w:tc>
      </w:tr>
      <w:tr w:rsidR="0062640D" w14:paraId="3B5A3C6D"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5E6A3627" w14:textId="77777777" w:rsidR="0062640D" w:rsidRDefault="00C12A80">
            <w:r>
              <w:t>Food and beverage revenue</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2BAC6B6F" w14:textId="77777777" w:rsidR="0062640D" w:rsidRDefault="00C12A80">
            <w:pPr>
              <w:pStyle w:val="AccountsBold"/>
            </w:pPr>
            <w:r>
              <w:t>8,596</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0A23F11" w14:textId="77777777" w:rsidR="0062640D" w:rsidRDefault="00C12A80">
            <w:pPr>
              <w:pStyle w:val="Accounts"/>
            </w:pPr>
            <w:r>
              <w:t>4,935</w:t>
            </w:r>
          </w:p>
        </w:tc>
      </w:tr>
      <w:tr w:rsidR="0062640D" w14:paraId="115D30FA" w14:textId="77777777">
        <w:tc>
          <w:tcPr>
            <w:tcW w:w="782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0FCD05DB" w14:textId="77777777" w:rsidR="0062640D" w:rsidRDefault="00C12A80">
            <w:r>
              <w:t xml:space="preserve">Other revenue </w:t>
            </w:r>
          </w:p>
        </w:tc>
        <w:tc>
          <w:tcPr>
            <w:tcW w:w="113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47665762" w14:textId="77777777" w:rsidR="0062640D" w:rsidRDefault="00C12A80">
            <w:pPr>
              <w:pStyle w:val="AccountsBold"/>
            </w:pPr>
            <w:r>
              <w:t>1,525</w:t>
            </w:r>
          </w:p>
        </w:tc>
        <w:tc>
          <w:tcPr>
            <w:tcW w:w="113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3C33269D" w14:textId="77777777" w:rsidR="0062640D" w:rsidRDefault="00C12A80">
            <w:pPr>
              <w:pStyle w:val="Accounts"/>
            </w:pPr>
            <w:r>
              <w:t>1,671</w:t>
            </w:r>
          </w:p>
        </w:tc>
      </w:tr>
      <w:tr w:rsidR="0062640D" w14:paraId="50DB41E7" w14:textId="77777777">
        <w:tc>
          <w:tcPr>
            <w:tcW w:w="782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3F2C956D" w14:textId="77777777" w:rsidR="0062640D" w:rsidRDefault="00C12A80">
            <w:pPr>
              <w:pStyle w:val="Heading-2"/>
            </w:pPr>
            <w:r>
              <w:t xml:space="preserve">Total revenue </w:t>
            </w:r>
          </w:p>
        </w:tc>
        <w:tc>
          <w:tcPr>
            <w:tcW w:w="113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2C6D4FB0" w14:textId="77777777" w:rsidR="0062640D" w:rsidRDefault="00C12A80">
            <w:pPr>
              <w:pStyle w:val="AccountsBold"/>
            </w:pPr>
            <w:r>
              <w:t>37,110</w:t>
            </w:r>
          </w:p>
        </w:tc>
        <w:tc>
          <w:tcPr>
            <w:tcW w:w="113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7896EBA6" w14:textId="77777777" w:rsidR="0062640D" w:rsidRDefault="00C12A80">
            <w:pPr>
              <w:pStyle w:val="Accounts"/>
            </w:pPr>
            <w:r>
              <w:t>22,959</w:t>
            </w:r>
          </w:p>
        </w:tc>
      </w:tr>
    </w:tbl>
    <w:p w14:paraId="067C2BD7" w14:textId="77777777" w:rsidR="0062640D" w:rsidRDefault="0062640D">
      <w:pPr>
        <w:pStyle w:val="Heading-2"/>
      </w:pPr>
    </w:p>
    <w:p w14:paraId="64AA8050" w14:textId="77777777" w:rsidR="0062640D" w:rsidRDefault="00C12A80">
      <w:pPr>
        <w:pStyle w:val="Heading-2"/>
      </w:pPr>
      <w:r>
        <w:t>Other geographical information</w:t>
      </w:r>
    </w:p>
    <w:p w14:paraId="7C097984" w14:textId="77777777" w:rsidR="0062640D" w:rsidRDefault="0062640D"/>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2881"/>
        <w:gridCol w:w="892"/>
        <w:gridCol w:w="892"/>
        <w:gridCol w:w="892"/>
        <w:gridCol w:w="892"/>
        <w:gridCol w:w="60"/>
        <w:gridCol w:w="892"/>
        <w:gridCol w:w="892"/>
        <w:gridCol w:w="892"/>
        <w:gridCol w:w="892"/>
      </w:tblGrid>
      <w:tr w:rsidR="0062640D" w14:paraId="6E61CBB5" w14:textId="77777777">
        <w:tc>
          <w:tcPr>
            <w:tcW w:w="2881" w:type="dxa"/>
            <w:tcBorders>
              <w:top w:val="nil"/>
              <w:left w:val="nil"/>
              <w:bottom w:val="nil"/>
              <w:right w:val="nil"/>
            </w:tcBorders>
            <w:tcMar>
              <w:top w:w="45" w:type="dxa"/>
              <w:left w:w="0" w:type="dxa"/>
              <w:bottom w:w="0" w:type="dxa"/>
              <w:right w:w="0" w:type="dxa"/>
            </w:tcMar>
            <w:vAlign w:val="bottom"/>
          </w:tcPr>
          <w:p w14:paraId="1287B1D8" w14:textId="77777777" w:rsidR="0062640D" w:rsidRDefault="0062640D"/>
        </w:tc>
        <w:tc>
          <w:tcPr>
            <w:tcW w:w="3568" w:type="dxa"/>
            <w:gridSpan w:val="4"/>
            <w:tcBorders>
              <w:top w:val="nil"/>
              <w:left w:val="nil"/>
              <w:bottom w:val="nil"/>
              <w:right w:val="none" w:sz="8" w:space="0" w:color="auto"/>
            </w:tcBorders>
            <w:tcMar>
              <w:top w:w="45" w:type="dxa"/>
              <w:left w:w="0" w:type="dxa"/>
              <w:bottom w:w="0" w:type="dxa"/>
              <w:right w:w="0" w:type="dxa"/>
            </w:tcMar>
            <w:vAlign w:val="bottom"/>
          </w:tcPr>
          <w:p w14:paraId="7ABE6CBA" w14:textId="77777777" w:rsidR="0062640D" w:rsidRDefault="00C12A80">
            <w:pPr>
              <w:pStyle w:val="Table-Headings"/>
              <w:jc w:val="center"/>
            </w:pPr>
            <w:r>
              <w:t>2024</w:t>
            </w:r>
          </w:p>
        </w:tc>
        <w:tc>
          <w:tcPr>
            <w:tcW w:w="6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765E23C9" w14:textId="77777777" w:rsidR="0062640D" w:rsidRDefault="0062640D"/>
        </w:tc>
        <w:tc>
          <w:tcPr>
            <w:tcW w:w="3568" w:type="dxa"/>
            <w:gridSpan w:val="4"/>
            <w:tcBorders>
              <w:top w:val="nil"/>
              <w:left w:val="none" w:sz="8" w:space="0" w:color="auto"/>
              <w:bottom w:val="nil"/>
              <w:right w:val="nil"/>
            </w:tcBorders>
            <w:tcMar>
              <w:top w:w="45" w:type="dxa"/>
              <w:left w:w="0" w:type="dxa"/>
              <w:bottom w:w="0" w:type="dxa"/>
              <w:right w:w="0" w:type="dxa"/>
            </w:tcMar>
            <w:vAlign w:val="bottom"/>
          </w:tcPr>
          <w:p w14:paraId="148FDEC4" w14:textId="77777777" w:rsidR="0062640D" w:rsidRDefault="00C12A80">
            <w:pPr>
              <w:pStyle w:val="Table-Headings"/>
              <w:jc w:val="center"/>
            </w:pPr>
            <w:r>
              <w:t>2023</w:t>
            </w:r>
          </w:p>
        </w:tc>
      </w:tr>
      <w:tr w:rsidR="0062640D" w14:paraId="74AB7D3D" w14:textId="77777777">
        <w:tc>
          <w:tcPr>
            <w:tcW w:w="2881" w:type="dxa"/>
            <w:tcBorders>
              <w:top w:val="nil"/>
              <w:left w:val="nil"/>
              <w:bottom w:val="nil"/>
              <w:right w:val="nil"/>
            </w:tcBorders>
            <w:tcMar>
              <w:top w:w="45" w:type="dxa"/>
              <w:left w:w="0" w:type="dxa"/>
              <w:bottom w:w="0" w:type="dxa"/>
              <w:right w:w="0" w:type="dxa"/>
            </w:tcMar>
            <w:vAlign w:val="bottom"/>
          </w:tcPr>
          <w:p w14:paraId="38D0DC09" w14:textId="77777777" w:rsidR="0062640D" w:rsidRDefault="0062640D"/>
        </w:tc>
        <w:tc>
          <w:tcPr>
            <w:tcW w:w="892" w:type="dxa"/>
            <w:tcBorders>
              <w:top w:val="nil"/>
              <w:left w:val="nil"/>
              <w:bottom w:val="nil"/>
              <w:right w:val="nil"/>
            </w:tcBorders>
            <w:tcMar>
              <w:top w:w="45" w:type="dxa"/>
              <w:left w:w="0" w:type="dxa"/>
              <w:bottom w:w="0" w:type="dxa"/>
              <w:right w:w="0" w:type="dxa"/>
            </w:tcMar>
            <w:vAlign w:val="bottom"/>
          </w:tcPr>
          <w:p w14:paraId="3F9613B8" w14:textId="77777777" w:rsidR="0062640D" w:rsidRDefault="00C12A80">
            <w:pPr>
              <w:pStyle w:val="Table-Headings"/>
            </w:pPr>
            <w:r>
              <w:t>Republic of Ireland</w:t>
            </w:r>
          </w:p>
        </w:tc>
        <w:tc>
          <w:tcPr>
            <w:tcW w:w="892" w:type="dxa"/>
            <w:tcBorders>
              <w:top w:val="nil"/>
              <w:left w:val="nil"/>
              <w:bottom w:val="nil"/>
              <w:right w:val="nil"/>
            </w:tcBorders>
            <w:tcMar>
              <w:top w:w="45" w:type="dxa"/>
              <w:left w:w="0" w:type="dxa"/>
              <w:bottom w:w="0" w:type="dxa"/>
              <w:right w:w="0" w:type="dxa"/>
            </w:tcMar>
            <w:vAlign w:val="bottom"/>
          </w:tcPr>
          <w:p w14:paraId="7B7F5A7F" w14:textId="77777777" w:rsidR="0062640D" w:rsidRDefault="00C12A80">
            <w:pPr>
              <w:pStyle w:val="Table-Headings"/>
            </w:pPr>
            <w:r>
              <w:t>UK</w:t>
            </w:r>
          </w:p>
        </w:tc>
        <w:tc>
          <w:tcPr>
            <w:tcW w:w="892" w:type="dxa"/>
            <w:tcBorders>
              <w:top w:val="nil"/>
              <w:left w:val="nil"/>
              <w:bottom w:val="nil"/>
              <w:right w:val="nil"/>
            </w:tcBorders>
            <w:tcMar>
              <w:top w:w="45" w:type="dxa"/>
              <w:left w:w="0" w:type="dxa"/>
              <w:bottom w:w="0" w:type="dxa"/>
              <w:right w:w="0" w:type="dxa"/>
            </w:tcMar>
            <w:vAlign w:val="bottom"/>
          </w:tcPr>
          <w:p w14:paraId="5FBFC67A" w14:textId="77777777" w:rsidR="0062640D" w:rsidRDefault="00C12A80">
            <w:pPr>
              <w:pStyle w:val="Table-Headings"/>
            </w:pPr>
            <w:r>
              <w:t>Continental Europe</w:t>
            </w:r>
          </w:p>
        </w:tc>
        <w:tc>
          <w:tcPr>
            <w:tcW w:w="892" w:type="dxa"/>
            <w:tcBorders>
              <w:top w:val="nil"/>
              <w:left w:val="nil"/>
              <w:bottom w:val="nil"/>
              <w:right w:val="none" w:sz="8" w:space="0" w:color="auto"/>
            </w:tcBorders>
            <w:tcMar>
              <w:top w:w="45" w:type="dxa"/>
              <w:left w:w="0" w:type="dxa"/>
              <w:bottom w:w="0" w:type="dxa"/>
              <w:right w:w="0" w:type="dxa"/>
            </w:tcMar>
            <w:vAlign w:val="bottom"/>
          </w:tcPr>
          <w:p w14:paraId="5B2E1866" w14:textId="77777777" w:rsidR="0062640D" w:rsidRDefault="00C12A80">
            <w:pPr>
              <w:pStyle w:val="Table-Headings"/>
            </w:pPr>
            <w:r>
              <w:t>Total</w:t>
            </w:r>
          </w:p>
        </w:tc>
        <w:tc>
          <w:tcPr>
            <w:tcW w:w="6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126AF858" w14:textId="77777777" w:rsidR="0062640D" w:rsidRDefault="0062640D"/>
        </w:tc>
        <w:tc>
          <w:tcPr>
            <w:tcW w:w="892" w:type="dxa"/>
            <w:tcBorders>
              <w:top w:val="nil"/>
              <w:left w:val="none" w:sz="8" w:space="0" w:color="auto"/>
              <w:bottom w:val="nil"/>
              <w:right w:val="nil"/>
            </w:tcBorders>
            <w:tcMar>
              <w:top w:w="45" w:type="dxa"/>
              <w:left w:w="0" w:type="dxa"/>
              <w:bottom w:w="0" w:type="dxa"/>
              <w:right w:w="0" w:type="dxa"/>
            </w:tcMar>
            <w:vAlign w:val="bottom"/>
          </w:tcPr>
          <w:p w14:paraId="2CC6020A" w14:textId="77777777" w:rsidR="0062640D" w:rsidRDefault="00C12A80">
            <w:pPr>
              <w:pStyle w:val="Table-Headings"/>
            </w:pPr>
            <w:r>
              <w:t>Republic of Ireland</w:t>
            </w:r>
          </w:p>
        </w:tc>
        <w:tc>
          <w:tcPr>
            <w:tcW w:w="892" w:type="dxa"/>
            <w:tcBorders>
              <w:top w:val="nil"/>
              <w:left w:val="nil"/>
              <w:bottom w:val="nil"/>
              <w:right w:val="nil"/>
            </w:tcBorders>
            <w:tcMar>
              <w:top w:w="45" w:type="dxa"/>
              <w:left w:w="0" w:type="dxa"/>
              <w:bottom w:w="0" w:type="dxa"/>
              <w:right w:w="0" w:type="dxa"/>
            </w:tcMar>
            <w:vAlign w:val="bottom"/>
          </w:tcPr>
          <w:p w14:paraId="43490AB5" w14:textId="77777777" w:rsidR="0062640D" w:rsidRDefault="00C12A80">
            <w:pPr>
              <w:pStyle w:val="Table-Headings"/>
            </w:pPr>
            <w:r>
              <w:t>UK</w:t>
            </w:r>
          </w:p>
        </w:tc>
        <w:tc>
          <w:tcPr>
            <w:tcW w:w="892" w:type="dxa"/>
            <w:tcBorders>
              <w:top w:val="nil"/>
              <w:left w:val="nil"/>
              <w:bottom w:val="nil"/>
              <w:right w:val="nil"/>
            </w:tcBorders>
            <w:tcMar>
              <w:top w:w="45" w:type="dxa"/>
              <w:left w:w="0" w:type="dxa"/>
              <w:bottom w:w="0" w:type="dxa"/>
              <w:right w:w="0" w:type="dxa"/>
            </w:tcMar>
            <w:vAlign w:val="bottom"/>
          </w:tcPr>
          <w:p w14:paraId="642C89C2" w14:textId="77777777" w:rsidR="0062640D" w:rsidRDefault="00C12A80">
            <w:pPr>
              <w:pStyle w:val="Table-Headings"/>
            </w:pPr>
            <w:r>
              <w:t>Continental Europe</w:t>
            </w:r>
          </w:p>
        </w:tc>
        <w:tc>
          <w:tcPr>
            <w:tcW w:w="892" w:type="dxa"/>
            <w:tcBorders>
              <w:top w:val="nil"/>
              <w:left w:val="nil"/>
              <w:bottom w:val="nil"/>
              <w:right w:val="nil"/>
            </w:tcBorders>
            <w:tcMar>
              <w:top w:w="45" w:type="dxa"/>
              <w:left w:w="0" w:type="dxa"/>
              <w:bottom w:w="0" w:type="dxa"/>
              <w:right w:w="0" w:type="dxa"/>
            </w:tcMar>
            <w:vAlign w:val="bottom"/>
          </w:tcPr>
          <w:p w14:paraId="1BADC6AC" w14:textId="77777777" w:rsidR="0062640D" w:rsidRDefault="00C12A80">
            <w:pPr>
              <w:pStyle w:val="Table-Headings"/>
            </w:pPr>
            <w:r>
              <w:t>Total</w:t>
            </w:r>
          </w:p>
        </w:tc>
      </w:tr>
      <w:tr w:rsidR="0062640D" w14:paraId="65A226BB" w14:textId="77777777">
        <w:tc>
          <w:tcPr>
            <w:tcW w:w="2881" w:type="dxa"/>
            <w:tcBorders>
              <w:top w:val="nil"/>
              <w:left w:val="nil"/>
              <w:bottom w:val="single" w:sz="6" w:space="0" w:color="FF777C"/>
              <w:right w:val="nil"/>
            </w:tcBorders>
            <w:tcMar>
              <w:top w:w="45" w:type="dxa"/>
              <w:left w:w="0" w:type="dxa"/>
              <w:bottom w:w="56" w:type="dxa"/>
              <w:right w:w="0" w:type="dxa"/>
            </w:tcMar>
            <w:vAlign w:val="bottom"/>
          </w:tcPr>
          <w:p w14:paraId="71F0754F" w14:textId="77777777" w:rsidR="0062640D" w:rsidRDefault="0062640D"/>
        </w:tc>
        <w:tc>
          <w:tcPr>
            <w:tcW w:w="892" w:type="dxa"/>
            <w:tcBorders>
              <w:top w:val="nil"/>
              <w:left w:val="nil"/>
              <w:bottom w:val="single" w:sz="6" w:space="0" w:color="FF777C"/>
              <w:right w:val="nil"/>
            </w:tcBorders>
            <w:tcMar>
              <w:top w:w="45" w:type="dxa"/>
              <w:left w:w="0" w:type="dxa"/>
              <w:bottom w:w="56" w:type="dxa"/>
              <w:right w:w="0" w:type="dxa"/>
            </w:tcMar>
            <w:vAlign w:val="bottom"/>
          </w:tcPr>
          <w:p w14:paraId="30D143F9" w14:textId="77777777" w:rsidR="0062640D" w:rsidRDefault="00C12A80">
            <w:pPr>
              <w:pStyle w:val="Table-Headings"/>
            </w:pPr>
            <w:r>
              <w:t>€’000</w:t>
            </w:r>
          </w:p>
        </w:tc>
        <w:tc>
          <w:tcPr>
            <w:tcW w:w="892" w:type="dxa"/>
            <w:tcBorders>
              <w:top w:val="nil"/>
              <w:left w:val="nil"/>
              <w:bottom w:val="single" w:sz="6" w:space="0" w:color="FF777C"/>
              <w:right w:val="nil"/>
            </w:tcBorders>
            <w:tcMar>
              <w:top w:w="45" w:type="dxa"/>
              <w:left w:w="0" w:type="dxa"/>
              <w:bottom w:w="56" w:type="dxa"/>
              <w:right w:w="0" w:type="dxa"/>
            </w:tcMar>
            <w:vAlign w:val="bottom"/>
          </w:tcPr>
          <w:p w14:paraId="67296D10" w14:textId="77777777" w:rsidR="0062640D" w:rsidRDefault="00C12A80">
            <w:pPr>
              <w:pStyle w:val="Table-Headings"/>
            </w:pPr>
            <w:r>
              <w:t>€’000</w:t>
            </w:r>
          </w:p>
        </w:tc>
        <w:tc>
          <w:tcPr>
            <w:tcW w:w="892" w:type="dxa"/>
            <w:tcBorders>
              <w:top w:val="nil"/>
              <w:left w:val="nil"/>
              <w:bottom w:val="single" w:sz="6" w:space="0" w:color="FF777C"/>
              <w:right w:val="nil"/>
            </w:tcBorders>
            <w:tcMar>
              <w:top w:w="45" w:type="dxa"/>
              <w:left w:w="0" w:type="dxa"/>
              <w:bottom w:w="56" w:type="dxa"/>
              <w:right w:w="0" w:type="dxa"/>
            </w:tcMar>
            <w:vAlign w:val="bottom"/>
          </w:tcPr>
          <w:p w14:paraId="3B49F533" w14:textId="77777777" w:rsidR="0062640D" w:rsidRDefault="00C12A80">
            <w:pPr>
              <w:pStyle w:val="Table-Headings"/>
            </w:pPr>
            <w:r>
              <w:t>€’000</w:t>
            </w:r>
          </w:p>
        </w:tc>
        <w:tc>
          <w:tcPr>
            <w:tcW w:w="892" w:type="dxa"/>
            <w:tcBorders>
              <w:top w:val="nil"/>
              <w:left w:val="nil"/>
              <w:bottom w:val="single" w:sz="6" w:space="0" w:color="FF777C"/>
              <w:right w:val="none" w:sz="8" w:space="0" w:color="auto"/>
            </w:tcBorders>
            <w:tcMar>
              <w:top w:w="45" w:type="dxa"/>
              <w:left w:w="0" w:type="dxa"/>
              <w:bottom w:w="56" w:type="dxa"/>
              <w:right w:w="0" w:type="dxa"/>
            </w:tcMar>
            <w:vAlign w:val="bottom"/>
          </w:tcPr>
          <w:p w14:paraId="1F507F12" w14:textId="77777777" w:rsidR="0062640D" w:rsidRDefault="00C12A80">
            <w:pPr>
              <w:pStyle w:val="Table-Headings"/>
            </w:pPr>
            <w:r>
              <w:t>€’000</w:t>
            </w:r>
          </w:p>
        </w:tc>
        <w:tc>
          <w:tcPr>
            <w:tcW w:w="60" w:type="dxa"/>
            <w:tcBorders>
              <w:top w:val="none" w:sz="8" w:space="0" w:color="auto"/>
              <w:left w:val="none" w:sz="8" w:space="0" w:color="auto"/>
              <w:bottom w:val="none" w:sz="8" w:space="0" w:color="auto"/>
              <w:right w:val="none" w:sz="8" w:space="0" w:color="auto"/>
            </w:tcBorders>
            <w:tcMar>
              <w:top w:w="45" w:type="dxa"/>
              <w:left w:w="0" w:type="dxa"/>
              <w:bottom w:w="56" w:type="dxa"/>
              <w:right w:w="0" w:type="dxa"/>
            </w:tcMar>
            <w:vAlign w:val="bottom"/>
          </w:tcPr>
          <w:p w14:paraId="6E278B56" w14:textId="77777777" w:rsidR="0062640D" w:rsidRDefault="0062640D"/>
        </w:tc>
        <w:tc>
          <w:tcPr>
            <w:tcW w:w="892" w:type="dxa"/>
            <w:tcBorders>
              <w:top w:val="nil"/>
              <w:left w:val="none" w:sz="8" w:space="0" w:color="auto"/>
              <w:bottom w:val="single" w:sz="6" w:space="0" w:color="FF777C"/>
              <w:right w:val="nil"/>
            </w:tcBorders>
            <w:tcMar>
              <w:top w:w="45" w:type="dxa"/>
              <w:left w:w="0" w:type="dxa"/>
              <w:bottom w:w="56" w:type="dxa"/>
              <w:right w:w="0" w:type="dxa"/>
            </w:tcMar>
            <w:vAlign w:val="bottom"/>
          </w:tcPr>
          <w:p w14:paraId="2B89E7B4" w14:textId="55116D38" w:rsidR="0062640D" w:rsidRDefault="00C12A80" w:rsidP="00565E9B">
            <w:pPr>
              <w:pStyle w:val="Table-Headings"/>
            </w:pPr>
            <w:r>
              <w:t>€’000</w:t>
            </w:r>
          </w:p>
        </w:tc>
        <w:tc>
          <w:tcPr>
            <w:tcW w:w="892" w:type="dxa"/>
            <w:tcBorders>
              <w:top w:val="nil"/>
              <w:left w:val="nil"/>
              <w:bottom w:val="single" w:sz="6" w:space="0" w:color="FF777C"/>
              <w:right w:val="nil"/>
            </w:tcBorders>
            <w:tcMar>
              <w:top w:w="45" w:type="dxa"/>
              <w:left w:w="0" w:type="dxa"/>
              <w:bottom w:w="56" w:type="dxa"/>
              <w:right w:w="0" w:type="dxa"/>
            </w:tcMar>
            <w:vAlign w:val="bottom"/>
          </w:tcPr>
          <w:p w14:paraId="648A9EE8" w14:textId="77777777" w:rsidR="0062640D" w:rsidRDefault="00C12A80">
            <w:pPr>
              <w:pStyle w:val="Table-Headings"/>
            </w:pPr>
            <w:r>
              <w:t>€’000</w:t>
            </w:r>
          </w:p>
        </w:tc>
        <w:tc>
          <w:tcPr>
            <w:tcW w:w="892" w:type="dxa"/>
            <w:tcBorders>
              <w:top w:val="nil"/>
              <w:left w:val="nil"/>
              <w:bottom w:val="single" w:sz="6" w:space="0" w:color="FF777C"/>
              <w:right w:val="nil"/>
            </w:tcBorders>
            <w:tcMar>
              <w:top w:w="45" w:type="dxa"/>
              <w:left w:w="0" w:type="dxa"/>
              <w:bottom w:w="56" w:type="dxa"/>
              <w:right w:w="0" w:type="dxa"/>
            </w:tcMar>
            <w:vAlign w:val="bottom"/>
          </w:tcPr>
          <w:p w14:paraId="3B4191E7" w14:textId="59465398" w:rsidR="0062640D" w:rsidRDefault="00C12A80" w:rsidP="00565E9B">
            <w:pPr>
              <w:pStyle w:val="Table-Headings"/>
            </w:pPr>
            <w:r>
              <w:t>€’000</w:t>
            </w:r>
          </w:p>
        </w:tc>
        <w:tc>
          <w:tcPr>
            <w:tcW w:w="892" w:type="dxa"/>
            <w:tcBorders>
              <w:top w:val="nil"/>
              <w:left w:val="nil"/>
              <w:bottom w:val="single" w:sz="6" w:space="0" w:color="FF777C"/>
              <w:right w:val="nil"/>
            </w:tcBorders>
            <w:tcMar>
              <w:top w:w="45" w:type="dxa"/>
              <w:left w:w="0" w:type="dxa"/>
              <w:bottom w:w="56" w:type="dxa"/>
              <w:right w:w="0" w:type="dxa"/>
            </w:tcMar>
            <w:vAlign w:val="bottom"/>
          </w:tcPr>
          <w:p w14:paraId="2263B1A1" w14:textId="333F03C9" w:rsidR="0062640D" w:rsidRDefault="00C12A80" w:rsidP="00565E9B">
            <w:pPr>
              <w:pStyle w:val="Table-Headings"/>
            </w:pPr>
            <w:r>
              <w:t>€’000</w:t>
            </w:r>
          </w:p>
        </w:tc>
      </w:tr>
      <w:tr w:rsidR="0062640D" w14:paraId="25BEDE68" w14:textId="77777777">
        <w:tc>
          <w:tcPr>
            <w:tcW w:w="2881"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18B4CB72" w14:textId="77777777" w:rsidR="0062640D" w:rsidRDefault="00C12A80">
            <w:pPr>
              <w:pStyle w:val="Heading-2"/>
            </w:pPr>
            <w:r>
              <w:t>Revenue</w:t>
            </w:r>
          </w:p>
        </w:tc>
        <w:tc>
          <w:tcPr>
            <w:tcW w:w="892"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6AEDA363" w14:textId="77777777" w:rsidR="0062640D" w:rsidRDefault="0062640D"/>
        </w:tc>
        <w:tc>
          <w:tcPr>
            <w:tcW w:w="892"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39A1F80A" w14:textId="77777777" w:rsidR="0062640D" w:rsidRDefault="0062640D"/>
        </w:tc>
        <w:tc>
          <w:tcPr>
            <w:tcW w:w="892"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15B560D7" w14:textId="77777777" w:rsidR="0062640D" w:rsidRDefault="0062640D"/>
        </w:tc>
        <w:tc>
          <w:tcPr>
            <w:tcW w:w="892"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6A50DD56" w14:textId="77777777" w:rsidR="0062640D" w:rsidRDefault="0062640D"/>
        </w:tc>
        <w:tc>
          <w:tcPr>
            <w:tcW w:w="60"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3B482627" w14:textId="77777777" w:rsidR="0062640D" w:rsidRDefault="0062640D"/>
        </w:tc>
        <w:tc>
          <w:tcPr>
            <w:tcW w:w="892"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59EC6DF3" w14:textId="77777777" w:rsidR="0062640D" w:rsidRDefault="0062640D"/>
        </w:tc>
        <w:tc>
          <w:tcPr>
            <w:tcW w:w="892"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5E42DD90" w14:textId="77777777" w:rsidR="0062640D" w:rsidRDefault="0062640D"/>
        </w:tc>
        <w:tc>
          <w:tcPr>
            <w:tcW w:w="892"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463AD8CB" w14:textId="77777777" w:rsidR="0062640D" w:rsidRDefault="0062640D"/>
        </w:tc>
        <w:tc>
          <w:tcPr>
            <w:tcW w:w="892"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5A9BCAC5" w14:textId="77777777" w:rsidR="0062640D" w:rsidRDefault="0062640D"/>
        </w:tc>
      </w:tr>
      <w:tr w:rsidR="0062640D" w14:paraId="7D93AD29" w14:textId="77777777">
        <w:tc>
          <w:tcPr>
            <w:tcW w:w="2881"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2666F268" w14:textId="77777777" w:rsidR="0062640D" w:rsidRDefault="00C12A80">
            <w:r>
              <w:t>Owned hotels</w:t>
            </w:r>
          </w:p>
        </w:tc>
        <w:tc>
          <w:tcPr>
            <w:tcW w:w="892"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566E4337" w14:textId="77777777" w:rsidR="0062640D" w:rsidRDefault="00C12A80">
            <w:pPr>
              <w:pStyle w:val="AccountsBold"/>
            </w:pPr>
            <w:r>
              <w:t>275,148</w:t>
            </w:r>
          </w:p>
        </w:tc>
        <w:tc>
          <w:tcPr>
            <w:tcW w:w="892"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5F15811A" w14:textId="77777777" w:rsidR="0062640D" w:rsidRDefault="00C12A80">
            <w:pPr>
              <w:pStyle w:val="AccountsBold"/>
            </w:pPr>
            <w:r>
              <w:t>108,189</w:t>
            </w:r>
          </w:p>
        </w:tc>
        <w:tc>
          <w:tcPr>
            <w:tcW w:w="892"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5706A068" w14:textId="77777777" w:rsidR="0062640D" w:rsidRDefault="00C12A80">
            <w:pPr>
              <w:pStyle w:val="AccountsBold"/>
            </w:pPr>
            <w:r>
              <w:t>-</w:t>
            </w:r>
          </w:p>
        </w:tc>
        <w:tc>
          <w:tcPr>
            <w:tcW w:w="892"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34448714" w14:textId="77777777" w:rsidR="0062640D" w:rsidRDefault="00C12A80">
            <w:pPr>
              <w:pStyle w:val="AccountsBold"/>
            </w:pPr>
            <w:r>
              <w:t>383,337</w:t>
            </w:r>
          </w:p>
        </w:tc>
        <w:tc>
          <w:tcPr>
            <w:tcW w:w="60"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3FEE72D" w14:textId="77777777" w:rsidR="0062640D" w:rsidRDefault="0062640D"/>
        </w:tc>
        <w:tc>
          <w:tcPr>
            <w:tcW w:w="892"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24F78C2E" w14:textId="77777777" w:rsidR="0062640D" w:rsidRDefault="00C12A80">
            <w:pPr>
              <w:pStyle w:val="Accounts"/>
            </w:pPr>
            <w:r>
              <w:t>276,188</w:t>
            </w:r>
          </w:p>
        </w:tc>
        <w:tc>
          <w:tcPr>
            <w:tcW w:w="892"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7C98A97" w14:textId="77777777" w:rsidR="0062640D" w:rsidRDefault="00C12A80">
            <w:pPr>
              <w:pStyle w:val="Accounts"/>
            </w:pPr>
            <w:r>
              <w:t>92,682</w:t>
            </w:r>
          </w:p>
        </w:tc>
        <w:tc>
          <w:tcPr>
            <w:tcW w:w="892"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9D6A072" w14:textId="77777777" w:rsidR="0062640D" w:rsidRDefault="00C12A80">
            <w:pPr>
              <w:pStyle w:val="Accounts"/>
            </w:pPr>
            <w:r>
              <w:t>-</w:t>
            </w:r>
          </w:p>
        </w:tc>
        <w:tc>
          <w:tcPr>
            <w:tcW w:w="892"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59D5E3DE" w14:textId="77777777" w:rsidR="0062640D" w:rsidRDefault="00C12A80">
            <w:pPr>
              <w:pStyle w:val="Accounts"/>
            </w:pPr>
            <w:r>
              <w:t>368,870</w:t>
            </w:r>
          </w:p>
        </w:tc>
      </w:tr>
      <w:tr w:rsidR="0062640D" w14:paraId="40F945AD" w14:textId="77777777">
        <w:tc>
          <w:tcPr>
            <w:tcW w:w="2881"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25670538" w14:textId="77777777" w:rsidR="0062640D" w:rsidRDefault="00C12A80">
            <w:r>
              <w:t>Leased hotels</w:t>
            </w:r>
          </w:p>
        </w:tc>
        <w:tc>
          <w:tcPr>
            <w:tcW w:w="892"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7C3FEA77" w14:textId="77777777" w:rsidR="0062640D" w:rsidRDefault="00C12A80">
            <w:pPr>
              <w:pStyle w:val="AccountsBold"/>
            </w:pPr>
            <w:r>
              <w:t>119,119</w:t>
            </w:r>
          </w:p>
        </w:tc>
        <w:tc>
          <w:tcPr>
            <w:tcW w:w="892"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3B12CF1E" w14:textId="77777777" w:rsidR="0062640D" w:rsidRDefault="00C12A80">
            <w:pPr>
              <w:pStyle w:val="AccountsBold"/>
            </w:pPr>
            <w:r>
              <w:t>112,624</w:t>
            </w:r>
          </w:p>
        </w:tc>
        <w:tc>
          <w:tcPr>
            <w:tcW w:w="892"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5BA07D5A" w14:textId="77777777" w:rsidR="0062640D" w:rsidRDefault="00C12A80">
            <w:pPr>
              <w:pStyle w:val="AccountsBold"/>
            </w:pPr>
            <w:r>
              <w:t>37,110</w:t>
            </w:r>
          </w:p>
        </w:tc>
        <w:tc>
          <w:tcPr>
            <w:tcW w:w="892"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36F5BC2A" w14:textId="77777777" w:rsidR="0062640D" w:rsidRDefault="00C12A80">
            <w:pPr>
              <w:pStyle w:val="AccountsBold"/>
            </w:pPr>
            <w:r>
              <w:t>268,853</w:t>
            </w:r>
          </w:p>
        </w:tc>
        <w:tc>
          <w:tcPr>
            <w:tcW w:w="60"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0C406244" w14:textId="77777777" w:rsidR="0062640D" w:rsidRDefault="0062640D"/>
        </w:tc>
        <w:tc>
          <w:tcPr>
            <w:tcW w:w="892"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1D06775D" w14:textId="77777777" w:rsidR="0062640D" w:rsidRDefault="00C12A80">
            <w:pPr>
              <w:pStyle w:val="Accounts"/>
            </w:pPr>
            <w:r>
              <w:t>122,259</w:t>
            </w:r>
          </w:p>
        </w:tc>
        <w:tc>
          <w:tcPr>
            <w:tcW w:w="892"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1C1DE827" w14:textId="77777777" w:rsidR="0062640D" w:rsidRDefault="00C12A80">
            <w:pPr>
              <w:pStyle w:val="Accounts"/>
            </w:pPr>
            <w:r>
              <w:t>93,610</w:t>
            </w:r>
          </w:p>
        </w:tc>
        <w:tc>
          <w:tcPr>
            <w:tcW w:w="892"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425FF0F1" w14:textId="77777777" w:rsidR="0062640D" w:rsidRDefault="00C12A80">
            <w:pPr>
              <w:pStyle w:val="Accounts"/>
            </w:pPr>
            <w:r>
              <w:t>22,959</w:t>
            </w:r>
          </w:p>
        </w:tc>
        <w:tc>
          <w:tcPr>
            <w:tcW w:w="892"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75AB200B" w14:textId="77777777" w:rsidR="0062640D" w:rsidRDefault="00C12A80">
            <w:pPr>
              <w:pStyle w:val="Accounts"/>
            </w:pPr>
            <w:r>
              <w:t>238,828</w:t>
            </w:r>
          </w:p>
        </w:tc>
      </w:tr>
      <w:tr w:rsidR="0062640D" w14:paraId="395DD4C7" w14:textId="77777777">
        <w:tc>
          <w:tcPr>
            <w:tcW w:w="2881"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35F2C51B" w14:textId="77777777" w:rsidR="0062640D" w:rsidRDefault="00C12A80">
            <w:pPr>
              <w:pStyle w:val="Heading-2"/>
            </w:pPr>
            <w:r>
              <w:t>Total revenue</w:t>
            </w:r>
          </w:p>
        </w:tc>
        <w:tc>
          <w:tcPr>
            <w:tcW w:w="892"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3D806CAF" w14:textId="77777777" w:rsidR="0062640D" w:rsidRDefault="00C12A80">
            <w:pPr>
              <w:pStyle w:val="AccountsBold"/>
            </w:pPr>
            <w:r>
              <w:t>394,267</w:t>
            </w:r>
          </w:p>
        </w:tc>
        <w:tc>
          <w:tcPr>
            <w:tcW w:w="892"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02D6412E" w14:textId="77777777" w:rsidR="0062640D" w:rsidRDefault="00C12A80">
            <w:pPr>
              <w:pStyle w:val="AccountsBold"/>
            </w:pPr>
            <w:r>
              <w:t>220,813</w:t>
            </w:r>
          </w:p>
        </w:tc>
        <w:tc>
          <w:tcPr>
            <w:tcW w:w="892"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708F3FC0" w14:textId="77777777" w:rsidR="0062640D" w:rsidRDefault="00C12A80">
            <w:pPr>
              <w:pStyle w:val="AccountsBold"/>
            </w:pPr>
            <w:r>
              <w:t>37,110</w:t>
            </w:r>
          </w:p>
        </w:tc>
        <w:tc>
          <w:tcPr>
            <w:tcW w:w="892"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428D91E0" w14:textId="77777777" w:rsidR="0062640D" w:rsidRDefault="00C12A80">
            <w:pPr>
              <w:pStyle w:val="AccountsBold"/>
            </w:pPr>
            <w:r>
              <w:t>652,190</w:t>
            </w:r>
          </w:p>
        </w:tc>
        <w:tc>
          <w:tcPr>
            <w:tcW w:w="60"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C222926" w14:textId="77777777" w:rsidR="0062640D" w:rsidRDefault="0062640D"/>
        </w:tc>
        <w:tc>
          <w:tcPr>
            <w:tcW w:w="892"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55916A6C" w14:textId="77777777" w:rsidR="0062640D" w:rsidRDefault="00C12A80">
            <w:pPr>
              <w:pStyle w:val="Accounts"/>
            </w:pPr>
            <w:r>
              <w:t>398,447</w:t>
            </w:r>
          </w:p>
        </w:tc>
        <w:tc>
          <w:tcPr>
            <w:tcW w:w="892"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46ACA659" w14:textId="77777777" w:rsidR="0062640D" w:rsidRDefault="00C12A80">
            <w:pPr>
              <w:pStyle w:val="Accounts"/>
            </w:pPr>
            <w:r>
              <w:t>186,292</w:t>
            </w:r>
          </w:p>
        </w:tc>
        <w:tc>
          <w:tcPr>
            <w:tcW w:w="892"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68767A7F" w14:textId="77777777" w:rsidR="0062640D" w:rsidRDefault="00C12A80">
            <w:pPr>
              <w:pStyle w:val="Accounts"/>
            </w:pPr>
            <w:r>
              <w:t>22,959</w:t>
            </w:r>
          </w:p>
        </w:tc>
        <w:tc>
          <w:tcPr>
            <w:tcW w:w="892"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244655FF" w14:textId="77777777" w:rsidR="0062640D" w:rsidRDefault="00C12A80">
            <w:pPr>
              <w:pStyle w:val="Accounts"/>
            </w:pPr>
            <w:r>
              <w:t>607,698</w:t>
            </w:r>
          </w:p>
        </w:tc>
      </w:tr>
    </w:tbl>
    <w:p w14:paraId="5FB8B886" w14:textId="77777777" w:rsidR="0062640D" w:rsidRDefault="0062640D"/>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2881"/>
        <w:gridCol w:w="892"/>
        <w:gridCol w:w="892"/>
        <w:gridCol w:w="892"/>
        <w:gridCol w:w="892"/>
        <w:gridCol w:w="60"/>
        <w:gridCol w:w="892"/>
        <w:gridCol w:w="892"/>
        <w:gridCol w:w="892"/>
        <w:gridCol w:w="892"/>
      </w:tblGrid>
      <w:tr w:rsidR="0062640D" w14:paraId="23D041CD" w14:textId="77777777">
        <w:tc>
          <w:tcPr>
            <w:tcW w:w="2881" w:type="dxa"/>
            <w:tcBorders>
              <w:top w:val="nil"/>
              <w:left w:val="nil"/>
              <w:bottom w:val="nil"/>
              <w:right w:val="nil"/>
            </w:tcBorders>
            <w:tcMar>
              <w:top w:w="45" w:type="dxa"/>
              <w:left w:w="0" w:type="dxa"/>
              <w:bottom w:w="0" w:type="dxa"/>
              <w:right w:w="0" w:type="dxa"/>
            </w:tcMar>
            <w:vAlign w:val="bottom"/>
          </w:tcPr>
          <w:p w14:paraId="4C8BCB8A" w14:textId="77777777" w:rsidR="0062640D" w:rsidRDefault="0062640D"/>
        </w:tc>
        <w:tc>
          <w:tcPr>
            <w:tcW w:w="892" w:type="dxa"/>
            <w:tcBorders>
              <w:top w:val="nil"/>
              <w:left w:val="nil"/>
              <w:bottom w:val="nil"/>
              <w:right w:val="nil"/>
            </w:tcBorders>
            <w:tcMar>
              <w:top w:w="45" w:type="dxa"/>
              <w:left w:w="0" w:type="dxa"/>
              <w:bottom w:w="0" w:type="dxa"/>
              <w:right w:w="0" w:type="dxa"/>
            </w:tcMar>
            <w:vAlign w:val="bottom"/>
          </w:tcPr>
          <w:p w14:paraId="2A0C4553" w14:textId="77777777" w:rsidR="0062640D" w:rsidRDefault="00C12A80">
            <w:pPr>
              <w:pStyle w:val="Table-Headings"/>
            </w:pPr>
            <w:r>
              <w:t>Republic of Ireland</w:t>
            </w:r>
          </w:p>
        </w:tc>
        <w:tc>
          <w:tcPr>
            <w:tcW w:w="892" w:type="dxa"/>
            <w:tcBorders>
              <w:top w:val="nil"/>
              <w:left w:val="nil"/>
              <w:bottom w:val="nil"/>
              <w:right w:val="nil"/>
            </w:tcBorders>
            <w:tcMar>
              <w:top w:w="45" w:type="dxa"/>
              <w:left w:w="0" w:type="dxa"/>
              <w:bottom w:w="0" w:type="dxa"/>
              <w:right w:w="0" w:type="dxa"/>
            </w:tcMar>
            <w:vAlign w:val="bottom"/>
          </w:tcPr>
          <w:p w14:paraId="33CC52FA" w14:textId="77777777" w:rsidR="0062640D" w:rsidRDefault="00C12A80">
            <w:pPr>
              <w:pStyle w:val="Table-Headings"/>
            </w:pPr>
            <w:r>
              <w:t>UK</w:t>
            </w:r>
          </w:p>
        </w:tc>
        <w:tc>
          <w:tcPr>
            <w:tcW w:w="892" w:type="dxa"/>
            <w:tcBorders>
              <w:top w:val="nil"/>
              <w:left w:val="nil"/>
              <w:bottom w:val="nil"/>
              <w:right w:val="nil"/>
            </w:tcBorders>
            <w:tcMar>
              <w:top w:w="45" w:type="dxa"/>
              <w:left w:w="0" w:type="dxa"/>
              <w:bottom w:w="0" w:type="dxa"/>
              <w:right w:w="0" w:type="dxa"/>
            </w:tcMar>
            <w:vAlign w:val="bottom"/>
          </w:tcPr>
          <w:p w14:paraId="409801C9" w14:textId="77777777" w:rsidR="0062640D" w:rsidRDefault="00C12A80">
            <w:pPr>
              <w:pStyle w:val="Table-Headings"/>
            </w:pPr>
            <w:r>
              <w:t>Continental Europe</w:t>
            </w:r>
          </w:p>
        </w:tc>
        <w:tc>
          <w:tcPr>
            <w:tcW w:w="892" w:type="dxa"/>
            <w:tcBorders>
              <w:top w:val="nil"/>
              <w:left w:val="nil"/>
              <w:bottom w:val="nil"/>
              <w:right w:val="none" w:sz="8" w:space="0" w:color="auto"/>
            </w:tcBorders>
            <w:tcMar>
              <w:top w:w="45" w:type="dxa"/>
              <w:left w:w="0" w:type="dxa"/>
              <w:bottom w:w="0" w:type="dxa"/>
              <w:right w:w="0" w:type="dxa"/>
            </w:tcMar>
            <w:vAlign w:val="bottom"/>
          </w:tcPr>
          <w:p w14:paraId="22894201" w14:textId="77777777" w:rsidR="0062640D" w:rsidRDefault="00C12A80">
            <w:pPr>
              <w:pStyle w:val="Table-Headings"/>
            </w:pPr>
            <w:r>
              <w:t>Total</w:t>
            </w:r>
          </w:p>
        </w:tc>
        <w:tc>
          <w:tcPr>
            <w:tcW w:w="6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06B5ECDE" w14:textId="77777777" w:rsidR="0062640D" w:rsidRDefault="0062640D"/>
        </w:tc>
        <w:tc>
          <w:tcPr>
            <w:tcW w:w="892" w:type="dxa"/>
            <w:tcBorders>
              <w:top w:val="nil"/>
              <w:left w:val="none" w:sz="8" w:space="0" w:color="auto"/>
              <w:bottom w:val="nil"/>
              <w:right w:val="nil"/>
            </w:tcBorders>
            <w:tcMar>
              <w:top w:w="45" w:type="dxa"/>
              <w:left w:w="0" w:type="dxa"/>
              <w:bottom w:w="0" w:type="dxa"/>
              <w:right w:w="0" w:type="dxa"/>
            </w:tcMar>
            <w:vAlign w:val="bottom"/>
          </w:tcPr>
          <w:p w14:paraId="0C4CC596" w14:textId="77777777" w:rsidR="0062640D" w:rsidRDefault="00C12A80">
            <w:pPr>
              <w:pStyle w:val="Table-Headings"/>
            </w:pPr>
            <w:r>
              <w:t>Republic of Ireland</w:t>
            </w:r>
          </w:p>
        </w:tc>
        <w:tc>
          <w:tcPr>
            <w:tcW w:w="892" w:type="dxa"/>
            <w:tcBorders>
              <w:top w:val="nil"/>
              <w:left w:val="nil"/>
              <w:bottom w:val="nil"/>
              <w:right w:val="nil"/>
            </w:tcBorders>
            <w:tcMar>
              <w:top w:w="45" w:type="dxa"/>
              <w:left w:w="0" w:type="dxa"/>
              <w:bottom w:w="0" w:type="dxa"/>
              <w:right w:w="0" w:type="dxa"/>
            </w:tcMar>
            <w:vAlign w:val="bottom"/>
          </w:tcPr>
          <w:p w14:paraId="7844C329" w14:textId="77777777" w:rsidR="0062640D" w:rsidRDefault="00C12A80">
            <w:pPr>
              <w:pStyle w:val="Table-Headings"/>
            </w:pPr>
            <w:r>
              <w:t>UK</w:t>
            </w:r>
          </w:p>
        </w:tc>
        <w:tc>
          <w:tcPr>
            <w:tcW w:w="892" w:type="dxa"/>
            <w:tcBorders>
              <w:top w:val="nil"/>
              <w:left w:val="nil"/>
              <w:bottom w:val="nil"/>
              <w:right w:val="nil"/>
            </w:tcBorders>
            <w:tcMar>
              <w:top w:w="45" w:type="dxa"/>
              <w:left w:w="0" w:type="dxa"/>
              <w:bottom w:w="0" w:type="dxa"/>
              <w:right w:w="0" w:type="dxa"/>
            </w:tcMar>
            <w:vAlign w:val="bottom"/>
          </w:tcPr>
          <w:p w14:paraId="00FFFA87" w14:textId="77777777" w:rsidR="0062640D" w:rsidRDefault="00C12A80">
            <w:pPr>
              <w:pStyle w:val="Table-Headings"/>
            </w:pPr>
            <w:r>
              <w:t>Continental Europe</w:t>
            </w:r>
          </w:p>
        </w:tc>
        <w:tc>
          <w:tcPr>
            <w:tcW w:w="892" w:type="dxa"/>
            <w:tcBorders>
              <w:top w:val="nil"/>
              <w:left w:val="nil"/>
              <w:bottom w:val="nil"/>
              <w:right w:val="nil"/>
            </w:tcBorders>
            <w:tcMar>
              <w:top w:w="45" w:type="dxa"/>
              <w:left w:w="0" w:type="dxa"/>
              <w:bottom w:w="0" w:type="dxa"/>
              <w:right w:w="0" w:type="dxa"/>
            </w:tcMar>
            <w:vAlign w:val="bottom"/>
          </w:tcPr>
          <w:p w14:paraId="773ABF77" w14:textId="77777777" w:rsidR="0062640D" w:rsidRDefault="00C12A80">
            <w:pPr>
              <w:pStyle w:val="Table-Headings"/>
            </w:pPr>
            <w:r>
              <w:t>Total</w:t>
            </w:r>
          </w:p>
        </w:tc>
      </w:tr>
      <w:tr w:rsidR="0062640D" w14:paraId="00134FB0" w14:textId="77777777">
        <w:tc>
          <w:tcPr>
            <w:tcW w:w="2881" w:type="dxa"/>
            <w:tcBorders>
              <w:top w:val="nil"/>
              <w:left w:val="nil"/>
              <w:bottom w:val="single" w:sz="6" w:space="0" w:color="FF777C"/>
              <w:right w:val="nil"/>
            </w:tcBorders>
            <w:tcMar>
              <w:top w:w="45" w:type="dxa"/>
              <w:left w:w="0" w:type="dxa"/>
              <w:bottom w:w="56" w:type="dxa"/>
              <w:right w:w="0" w:type="dxa"/>
            </w:tcMar>
            <w:vAlign w:val="bottom"/>
          </w:tcPr>
          <w:p w14:paraId="07792760" w14:textId="77777777" w:rsidR="0062640D" w:rsidRDefault="0062640D"/>
        </w:tc>
        <w:tc>
          <w:tcPr>
            <w:tcW w:w="892" w:type="dxa"/>
            <w:tcBorders>
              <w:top w:val="nil"/>
              <w:left w:val="nil"/>
              <w:bottom w:val="single" w:sz="6" w:space="0" w:color="FF777C"/>
              <w:right w:val="nil"/>
            </w:tcBorders>
            <w:tcMar>
              <w:top w:w="45" w:type="dxa"/>
              <w:left w:w="0" w:type="dxa"/>
              <w:bottom w:w="56" w:type="dxa"/>
              <w:right w:w="0" w:type="dxa"/>
            </w:tcMar>
            <w:vAlign w:val="bottom"/>
          </w:tcPr>
          <w:p w14:paraId="4DE82F71" w14:textId="77777777" w:rsidR="0062640D" w:rsidRDefault="00C12A80">
            <w:pPr>
              <w:pStyle w:val="Table-Headings"/>
            </w:pPr>
            <w:r>
              <w:t>€’000</w:t>
            </w:r>
          </w:p>
        </w:tc>
        <w:tc>
          <w:tcPr>
            <w:tcW w:w="892" w:type="dxa"/>
            <w:tcBorders>
              <w:top w:val="nil"/>
              <w:left w:val="nil"/>
              <w:bottom w:val="single" w:sz="6" w:space="0" w:color="FF777C"/>
              <w:right w:val="nil"/>
            </w:tcBorders>
            <w:tcMar>
              <w:top w:w="45" w:type="dxa"/>
              <w:left w:w="0" w:type="dxa"/>
              <w:bottom w:w="56" w:type="dxa"/>
              <w:right w:w="0" w:type="dxa"/>
            </w:tcMar>
            <w:vAlign w:val="bottom"/>
          </w:tcPr>
          <w:p w14:paraId="5F70EA46" w14:textId="77777777" w:rsidR="0062640D" w:rsidRDefault="00C12A80">
            <w:pPr>
              <w:pStyle w:val="Table-Headings"/>
            </w:pPr>
            <w:r>
              <w:t>€’000</w:t>
            </w:r>
          </w:p>
        </w:tc>
        <w:tc>
          <w:tcPr>
            <w:tcW w:w="892" w:type="dxa"/>
            <w:tcBorders>
              <w:top w:val="nil"/>
              <w:left w:val="nil"/>
              <w:bottom w:val="single" w:sz="6" w:space="0" w:color="FF777C"/>
              <w:right w:val="nil"/>
            </w:tcBorders>
            <w:tcMar>
              <w:top w:w="45" w:type="dxa"/>
              <w:left w:w="0" w:type="dxa"/>
              <w:bottom w:w="56" w:type="dxa"/>
              <w:right w:w="0" w:type="dxa"/>
            </w:tcMar>
            <w:vAlign w:val="bottom"/>
          </w:tcPr>
          <w:p w14:paraId="09D872AC" w14:textId="77777777" w:rsidR="0062640D" w:rsidRDefault="00C12A80">
            <w:pPr>
              <w:pStyle w:val="Table-Headings"/>
            </w:pPr>
            <w:r>
              <w:t>€’000</w:t>
            </w:r>
          </w:p>
        </w:tc>
        <w:tc>
          <w:tcPr>
            <w:tcW w:w="892" w:type="dxa"/>
            <w:tcBorders>
              <w:top w:val="nil"/>
              <w:left w:val="nil"/>
              <w:bottom w:val="single" w:sz="6" w:space="0" w:color="FF777C"/>
              <w:right w:val="none" w:sz="8" w:space="0" w:color="auto"/>
            </w:tcBorders>
            <w:tcMar>
              <w:top w:w="45" w:type="dxa"/>
              <w:left w:w="0" w:type="dxa"/>
              <w:bottom w:w="56" w:type="dxa"/>
              <w:right w:w="0" w:type="dxa"/>
            </w:tcMar>
            <w:vAlign w:val="bottom"/>
          </w:tcPr>
          <w:p w14:paraId="4FB3F1E5" w14:textId="77777777" w:rsidR="0062640D" w:rsidRDefault="00C12A80">
            <w:pPr>
              <w:pStyle w:val="Table-Headings"/>
            </w:pPr>
            <w:r>
              <w:t>€’000</w:t>
            </w:r>
          </w:p>
        </w:tc>
        <w:tc>
          <w:tcPr>
            <w:tcW w:w="60" w:type="dxa"/>
            <w:tcBorders>
              <w:top w:val="none" w:sz="8" w:space="0" w:color="auto"/>
              <w:left w:val="none" w:sz="8" w:space="0" w:color="auto"/>
              <w:bottom w:val="none" w:sz="8" w:space="0" w:color="auto"/>
              <w:right w:val="none" w:sz="8" w:space="0" w:color="auto"/>
            </w:tcBorders>
            <w:tcMar>
              <w:top w:w="45" w:type="dxa"/>
              <w:left w:w="0" w:type="dxa"/>
              <w:bottom w:w="56" w:type="dxa"/>
              <w:right w:w="0" w:type="dxa"/>
            </w:tcMar>
            <w:vAlign w:val="bottom"/>
          </w:tcPr>
          <w:p w14:paraId="4553CDFC" w14:textId="77777777" w:rsidR="0062640D" w:rsidRDefault="0062640D"/>
        </w:tc>
        <w:tc>
          <w:tcPr>
            <w:tcW w:w="892" w:type="dxa"/>
            <w:tcBorders>
              <w:top w:val="nil"/>
              <w:left w:val="none" w:sz="8" w:space="0" w:color="auto"/>
              <w:bottom w:val="single" w:sz="6" w:space="0" w:color="FF777C"/>
              <w:right w:val="nil"/>
            </w:tcBorders>
            <w:tcMar>
              <w:top w:w="45" w:type="dxa"/>
              <w:left w:w="0" w:type="dxa"/>
              <w:bottom w:w="56" w:type="dxa"/>
              <w:right w:w="0" w:type="dxa"/>
            </w:tcMar>
            <w:vAlign w:val="bottom"/>
          </w:tcPr>
          <w:p w14:paraId="3FFD251F" w14:textId="47577291" w:rsidR="0062640D" w:rsidRDefault="00C12A80" w:rsidP="00565E9B">
            <w:pPr>
              <w:pStyle w:val="Table-Headings"/>
            </w:pPr>
            <w:r>
              <w:t>€’000</w:t>
            </w:r>
          </w:p>
        </w:tc>
        <w:tc>
          <w:tcPr>
            <w:tcW w:w="892" w:type="dxa"/>
            <w:tcBorders>
              <w:top w:val="nil"/>
              <w:left w:val="nil"/>
              <w:bottom w:val="single" w:sz="6" w:space="0" w:color="FF777C"/>
              <w:right w:val="nil"/>
            </w:tcBorders>
            <w:tcMar>
              <w:top w:w="45" w:type="dxa"/>
              <w:left w:w="0" w:type="dxa"/>
              <w:bottom w:w="56" w:type="dxa"/>
              <w:right w:w="0" w:type="dxa"/>
            </w:tcMar>
            <w:vAlign w:val="bottom"/>
          </w:tcPr>
          <w:p w14:paraId="6D85DF2A" w14:textId="77777777" w:rsidR="0062640D" w:rsidRDefault="00C12A80">
            <w:pPr>
              <w:pStyle w:val="Table-Headings"/>
            </w:pPr>
            <w:r>
              <w:t>€’000</w:t>
            </w:r>
          </w:p>
        </w:tc>
        <w:tc>
          <w:tcPr>
            <w:tcW w:w="892" w:type="dxa"/>
            <w:tcBorders>
              <w:top w:val="nil"/>
              <w:left w:val="nil"/>
              <w:bottom w:val="single" w:sz="6" w:space="0" w:color="FF777C"/>
              <w:right w:val="nil"/>
            </w:tcBorders>
            <w:tcMar>
              <w:top w:w="45" w:type="dxa"/>
              <w:left w:w="0" w:type="dxa"/>
              <w:bottom w:w="56" w:type="dxa"/>
              <w:right w:w="0" w:type="dxa"/>
            </w:tcMar>
            <w:vAlign w:val="bottom"/>
          </w:tcPr>
          <w:p w14:paraId="017DC801" w14:textId="37221AA8" w:rsidR="0062640D" w:rsidRDefault="00C12A80" w:rsidP="00565E9B">
            <w:pPr>
              <w:pStyle w:val="Table-Headings"/>
            </w:pPr>
            <w:r>
              <w:t>€’000</w:t>
            </w:r>
          </w:p>
        </w:tc>
        <w:tc>
          <w:tcPr>
            <w:tcW w:w="892" w:type="dxa"/>
            <w:tcBorders>
              <w:top w:val="nil"/>
              <w:left w:val="nil"/>
              <w:bottom w:val="single" w:sz="6" w:space="0" w:color="FF777C"/>
              <w:right w:val="nil"/>
            </w:tcBorders>
            <w:tcMar>
              <w:top w:w="45" w:type="dxa"/>
              <w:left w:w="0" w:type="dxa"/>
              <w:bottom w:w="56" w:type="dxa"/>
              <w:right w:w="0" w:type="dxa"/>
            </w:tcMar>
            <w:vAlign w:val="bottom"/>
          </w:tcPr>
          <w:p w14:paraId="1489A889" w14:textId="76A1E543" w:rsidR="0062640D" w:rsidRDefault="00C12A80" w:rsidP="00565E9B">
            <w:pPr>
              <w:pStyle w:val="Table-Headings"/>
            </w:pPr>
            <w:r>
              <w:t>€’000</w:t>
            </w:r>
          </w:p>
        </w:tc>
      </w:tr>
      <w:tr w:rsidR="0062640D" w14:paraId="39EFC820" w14:textId="77777777">
        <w:tc>
          <w:tcPr>
            <w:tcW w:w="2881"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7FE4C416" w14:textId="206A2CCB" w:rsidR="0062640D" w:rsidRDefault="00C12A80">
            <w:pPr>
              <w:pStyle w:val="Heading-2"/>
            </w:pPr>
            <w:r>
              <w:t>EBITDAR</w:t>
            </w:r>
          </w:p>
        </w:tc>
        <w:tc>
          <w:tcPr>
            <w:tcW w:w="892"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06438632" w14:textId="77777777" w:rsidR="0062640D" w:rsidRDefault="0062640D"/>
        </w:tc>
        <w:tc>
          <w:tcPr>
            <w:tcW w:w="892"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677FD333" w14:textId="77777777" w:rsidR="0062640D" w:rsidRDefault="0062640D"/>
        </w:tc>
        <w:tc>
          <w:tcPr>
            <w:tcW w:w="892"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2DD63DB8" w14:textId="77777777" w:rsidR="0062640D" w:rsidRDefault="0062640D"/>
        </w:tc>
        <w:tc>
          <w:tcPr>
            <w:tcW w:w="892"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0F0A8ECB" w14:textId="77777777" w:rsidR="0062640D" w:rsidRDefault="0062640D"/>
        </w:tc>
        <w:tc>
          <w:tcPr>
            <w:tcW w:w="60"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2314B825" w14:textId="77777777" w:rsidR="0062640D" w:rsidRDefault="0062640D"/>
        </w:tc>
        <w:tc>
          <w:tcPr>
            <w:tcW w:w="892"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6CE93855" w14:textId="77777777" w:rsidR="0062640D" w:rsidRDefault="0062640D"/>
        </w:tc>
        <w:tc>
          <w:tcPr>
            <w:tcW w:w="892"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4A230D5D" w14:textId="77777777" w:rsidR="0062640D" w:rsidRDefault="0062640D"/>
        </w:tc>
        <w:tc>
          <w:tcPr>
            <w:tcW w:w="892"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3DC4859F" w14:textId="77777777" w:rsidR="0062640D" w:rsidRDefault="0062640D"/>
        </w:tc>
        <w:tc>
          <w:tcPr>
            <w:tcW w:w="892"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374700A0" w14:textId="77777777" w:rsidR="0062640D" w:rsidRDefault="0062640D"/>
        </w:tc>
      </w:tr>
      <w:tr w:rsidR="0062640D" w14:paraId="299EAAEC" w14:textId="77777777">
        <w:tc>
          <w:tcPr>
            <w:tcW w:w="2881"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3EDD50D6" w14:textId="77777777" w:rsidR="0062640D" w:rsidRDefault="00C12A80">
            <w:r>
              <w:t>Owned hotels</w:t>
            </w:r>
          </w:p>
        </w:tc>
        <w:tc>
          <w:tcPr>
            <w:tcW w:w="892"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B72FA15" w14:textId="77777777" w:rsidR="0062640D" w:rsidRDefault="00C12A80">
            <w:pPr>
              <w:pStyle w:val="AccountsBold"/>
            </w:pPr>
            <w:r>
              <w:t>116,036</w:t>
            </w:r>
          </w:p>
        </w:tc>
        <w:tc>
          <w:tcPr>
            <w:tcW w:w="892"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4F0D764" w14:textId="77777777" w:rsidR="0062640D" w:rsidRDefault="00C12A80">
            <w:pPr>
              <w:pStyle w:val="AccountsBold"/>
            </w:pPr>
            <w:r>
              <w:t>41,761</w:t>
            </w:r>
          </w:p>
        </w:tc>
        <w:tc>
          <w:tcPr>
            <w:tcW w:w="892"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7683D00C" w14:textId="77777777" w:rsidR="0062640D" w:rsidRDefault="00C12A80">
            <w:pPr>
              <w:pStyle w:val="AccountsBold"/>
            </w:pPr>
            <w:r>
              <w:t>-</w:t>
            </w:r>
          </w:p>
        </w:tc>
        <w:tc>
          <w:tcPr>
            <w:tcW w:w="892"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39D14975" w14:textId="77777777" w:rsidR="0062640D" w:rsidRDefault="00C12A80">
            <w:pPr>
              <w:pStyle w:val="AccountsBold"/>
            </w:pPr>
            <w:r>
              <w:t>157,797</w:t>
            </w:r>
          </w:p>
        </w:tc>
        <w:tc>
          <w:tcPr>
            <w:tcW w:w="60"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2CFBD2F7" w14:textId="77777777" w:rsidR="0062640D" w:rsidRDefault="0062640D"/>
        </w:tc>
        <w:tc>
          <w:tcPr>
            <w:tcW w:w="892"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53D90FD1" w14:textId="77777777" w:rsidR="0062640D" w:rsidRDefault="00C12A80">
            <w:pPr>
              <w:pStyle w:val="Accounts"/>
            </w:pPr>
            <w:r>
              <w:t>118,632</w:t>
            </w:r>
          </w:p>
        </w:tc>
        <w:tc>
          <w:tcPr>
            <w:tcW w:w="892"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940A6B5" w14:textId="77777777" w:rsidR="0062640D" w:rsidRDefault="00C12A80">
            <w:pPr>
              <w:pStyle w:val="Accounts"/>
            </w:pPr>
            <w:r>
              <w:t>37,284</w:t>
            </w:r>
          </w:p>
        </w:tc>
        <w:tc>
          <w:tcPr>
            <w:tcW w:w="892"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5048492A" w14:textId="77777777" w:rsidR="0062640D" w:rsidRDefault="00C12A80">
            <w:pPr>
              <w:pStyle w:val="Accounts"/>
            </w:pPr>
            <w:r>
              <w:t>-</w:t>
            </w:r>
          </w:p>
        </w:tc>
        <w:tc>
          <w:tcPr>
            <w:tcW w:w="892"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002BC12E" w14:textId="77777777" w:rsidR="0062640D" w:rsidRDefault="00C12A80">
            <w:pPr>
              <w:pStyle w:val="Accounts"/>
            </w:pPr>
            <w:r>
              <w:t>155,916</w:t>
            </w:r>
          </w:p>
        </w:tc>
      </w:tr>
      <w:tr w:rsidR="0062640D" w14:paraId="2D312A1A" w14:textId="77777777">
        <w:tc>
          <w:tcPr>
            <w:tcW w:w="2881"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470FF5D4" w14:textId="77777777" w:rsidR="0062640D" w:rsidRDefault="00C12A80">
            <w:r>
              <w:t>Leased hotels</w:t>
            </w:r>
          </w:p>
        </w:tc>
        <w:tc>
          <w:tcPr>
            <w:tcW w:w="892"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4A56A2ED" w14:textId="77777777" w:rsidR="0062640D" w:rsidRDefault="00C12A80">
            <w:pPr>
              <w:pStyle w:val="AccountsBold"/>
            </w:pPr>
            <w:r>
              <w:t>51,262</w:t>
            </w:r>
          </w:p>
        </w:tc>
        <w:tc>
          <w:tcPr>
            <w:tcW w:w="892"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78B540ED" w14:textId="77777777" w:rsidR="0062640D" w:rsidRDefault="00C12A80">
            <w:pPr>
              <w:pStyle w:val="AccountsBold"/>
            </w:pPr>
            <w:r>
              <w:t>39,204</w:t>
            </w:r>
          </w:p>
        </w:tc>
        <w:tc>
          <w:tcPr>
            <w:tcW w:w="892"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5C88B457" w14:textId="77777777" w:rsidR="0062640D" w:rsidRDefault="00C12A80">
            <w:pPr>
              <w:pStyle w:val="AccountsBold"/>
            </w:pPr>
            <w:r>
              <w:t>11,274</w:t>
            </w:r>
          </w:p>
        </w:tc>
        <w:tc>
          <w:tcPr>
            <w:tcW w:w="892"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037B4B32" w14:textId="77777777" w:rsidR="0062640D" w:rsidRDefault="00C12A80">
            <w:pPr>
              <w:pStyle w:val="AccountsBold"/>
            </w:pPr>
            <w:r>
              <w:t>101,740</w:t>
            </w:r>
          </w:p>
        </w:tc>
        <w:tc>
          <w:tcPr>
            <w:tcW w:w="60"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2C006B9F" w14:textId="77777777" w:rsidR="0062640D" w:rsidRDefault="0062640D"/>
        </w:tc>
        <w:tc>
          <w:tcPr>
            <w:tcW w:w="892"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272D7DEB" w14:textId="77777777" w:rsidR="0062640D" w:rsidRDefault="00C12A80">
            <w:pPr>
              <w:pStyle w:val="Accounts"/>
            </w:pPr>
            <w:r>
              <w:t>54,269</w:t>
            </w:r>
          </w:p>
        </w:tc>
        <w:tc>
          <w:tcPr>
            <w:tcW w:w="892"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17445AF8" w14:textId="77777777" w:rsidR="0062640D" w:rsidRDefault="00C12A80">
            <w:pPr>
              <w:pStyle w:val="Accounts"/>
            </w:pPr>
            <w:r>
              <w:t>34,374</w:t>
            </w:r>
          </w:p>
        </w:tc>
        <w:tc>
          <w:tcPr>
            <w:tcW w:w="892"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34629138" w14:textId="77777777" w:rsidR="0062640D" w:rsidRDefault="00C12A80">
            <w:pPr>
              <w:pStyle w:val="Accounts"/>
            </w:pPr>
            <w:r>
              <w:t>7,707</w:t>
            </w:r>
          </w:p>
        </w:tc>
        <w:tc>
          <w:tcPr>
            <w:tcW w:w="892"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4469E2DE" w14:textId="77777777" w:rsidR="0062640D" w:rsidRDefault="00C12A80">
            <w:pPr>
              <w:pStyle w:val="Accounts"/>
            </w:pPr>
            <w:r>
              <w:t>96,350</w:t>
            </w:r>
          </w:p>
        </w:tc>
      </w:tr>
      <w:tr w:rsidR="0062640D" w14:paraId="09FE7781" w14:textId="77777777">
        <w:tc>
          <w:tcPr>
            <w:tcW w:w="2881"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5228FDE9" w14:textId="77777777" w:rsidR="0062640D" w:rsidRDefault="00C12A80">
            <w:pPr>
              <w:pStyle w:val="Heading-2"/>
            </w:pPr>
            <w:r>
              <w:t>Total EBITDAR</w:t>
            </w:r>
          </w:p>
        </w:tc>
        <w:tc>
          <w:tcPr>
            <w:tcW w:w="892"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09A1C504" w14:textId="77777777" w:rsidR="0062640D" w:rsidRDefault="00C12A80">
            <w:pPr>
              <w:pStyle w:val="AccountsBold"/>
            </w:pPr>
            <w:r>
              <w:t>167,298</w:t>
            </w:r>
          </w:p>
        </w:tc>
        <w:tc>
          <w:tcPr>
            <w:tcW w:w="892"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1E0FD71D" w14:textId="77777777" w:rsidR="0062640D" w:rsidRDefault="00C12A80">
            <w:pPr>
              <w:pStyle w:val="AccountsBold"/>
            </w:pPr>
            <w:r>
              <w:t>80,965</w:t>
            </w:r>
          </w:p>
        </w:tc>
        <w:tc>
          <w:tcPr>
            <w:tcW w:w="892"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60BC30E6" w14:textId="77777777" w:rsidR="0062640D" w:rsidRDefault="00C12A80">
            <w:pPr>
              <w:pStyle w:val="AccountsBold"/>
            </w:pPr>
            <w:r>
              <w:t>11,274</w:t>
            </w:r>
          </w:p>
        </w:tc>
        <w:tc>
          <w:tcPr>
            <w:tcW w:w="892"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2EACDEB1" w14:textId="77777777" w:rsidR="0062640D" w:rsidRDefault="00C12A80">
            <w:pPr>
              <w:pStyle w:val="AccountsBold"/>
            </w:pPr>
            <w:r>
              <w:t>259,537</w:t>
            </w:r>
          </w:p>
        </w:tc>
        <w:tc>
          <w:tcPr>
            <w:tcW w:w="60"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38E7FECC" w14:textId="77777777" w:rsidR="0062640D" w:rsidRDefault="0062640D"/>
        </w:tc>
        <w:tc>
          <w:tcPr>
            <w:tcW w:w="892"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3726B16D" w14:textId="77777777" w:rsidR="0062640D" w:rsidRDefault="00C12A80">
            <w:pPr>
              <w:pStyle w:val="Accounts"/>
            </w:pPr>
            <w:r>
              <w:t>172,901</w:t>
            </w:r>
          </w:p>
        </w:tc>
        <w:tc>
          <w:tcPr>
            <w:tcW w:w="892"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627169DA" w14:textId="77777777" w:rsidR="0062640D" w:rsidRDefault="00C12A80">
            <w:pPr>
              <w:pStyle w:val="Accounts"/>
            </w:pPr>
            <w:r>
              <w:t>71,658</w:t>
            </w:r>
          </w:p>
        </w:tc>
        <w:tc>
          <w:tcPr>
            <w:tcW w:w="892"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33F6C66F" w14:textId="77777777" w:rsidR="0062640D" w:rsidRDefault="00C12A80">
            <w:pPr>
              <w:pStyle w:val="Accounts"/>
            </w:pPr>
            <w:r>
              <w:t>7,707</w:t>
            </w:r>
          </w:p>
        </w:tc>
        <w:tc>
          <w:tcPr>
            <w:tcW w:w="892"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1D275BEE" w14:textId="77777777" w:rsidR="0062640D" w:rsidRDefault="00C12A80">
            <w:pPr>
              <w:pStyle w:val="Accounts"/>
            </w:pPr>
            <w:r>
              <w:t>252,266</w:t>
            </w:r>
          </w:p>
        </w:tc>
      </w:tr>
    </w:tbl>
    <w:p w14:paraId="023B52A1" w14:textId="77777777" w:rsidR="0062640D" w:rsidRDefault="0062640D"/>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2881"/>
        <w:gridCol w:w="892"/>
        <w:gridCol w:w="892"/>
        <w:gridCol w:w="892"/>
        <w:gridCol w:w="892"/>
        <w:gridCol w:w="60"/>
        <w:gridCol w:w="892"/>
        <w:gridCol w:w="892"/>
        <w:gridCol w:w="892"/>
        <w:gridCol w:w="892"/>
      </w:tblGrid>
      <w:tr w:rsidR="0062640D" w14:paraId="384AF495" w14:textId="77777777">
        <w:tc>
          <w:tcPr>
            <w:tcW w:w="2881" w:type="dxa"/>
            <w:tcBorders>
              <w:top w:val="nil"/>
              <w:left w:val="nil"/>
              <w:bottom w:val="nil"/>
              <w:right w:val="nil"/>
            </w:tcBorders>
            <w:tcMar>
              <w:top w:w="45" w:type="dxa"/>
              <w:left w:w="0" w:type="dxa"/>
              <w:bottom w:w="0" w:type="dxa"/>
              <w:right w:w="0" w:type="dxa"/>
            </w:tcMar>
            <w:vAlign w:val="bottom"/>
          </w:tcPr>
          <w:p w14:paraId="38DD97E5" w14:textId="77777777" w:rsidR="0062640D" w:rsidRDefault="0062640D"/>
        </w:tc>
        <w:tc>
          <w:tcPr>
            <w:tcW w:w="892" w:type="dxa"/>
            <w:tcBorders>
              <w:top w:val="nil"/>
              <w:left w:val="nil"/>
              <w:bottom w:val="nil"/>
              <w:right w:val="nil"/>
            </w:tcBorders>
            <w:tcMar>
              <w:top w:w="45" w:type="dxa"/>
              <w:left w:w="0" w:type="dxa"/>
              <w:bottom w:w="0" w:type="dxa"/>
              <w:right w:w="0" w:type="dxa"/>
            </w:tcMar>
            <w:vAlign w:val="bottom"/>
          </w:tcPr>
          <w:p w14:paraId="281908E2" w14:textId="77777777" w:rsidR="0062640D" w:rsidRDefault="00C12A80">
            <w:pPr>
              <w:pStyle w:val="Table-Headings"/>
            </w:pPr>
            <w:r>
              <w:t>Republic of Ireland</w:t>
            </w:r>
          </w:p>
        </w:tc>
        <w:tc>
          <w:tcPr>
            <w:tcW w:w="892" w:type="dxa"/>
            <w:tcBorders>
              <w:top w:val="nil"/>
              <w:left w:val="nil"/>
              <w:bottom w:val="nil"/>
              <w:right w:val="nil"/>
            </w:tcBorders>
            <w:tcMar>
              <w:top w:w="45" w:type="dxa"/>
              <w:left w:w="0" w:type="dxa"/>
              <w:bottom w:w="0" w:type="dxa"/>
              <w:right w:w="0" w:type="dxa"/>
            </w:tcMar>
            <w:vAlign w:val="bottom"/>
          </w:tcPr>
          <w:p w14:paraId="637684AA" w14:textId="77777777" w:rsidR="0062640D" w:rsidRDefault="00C12A80">
            <w:pPr>
              <w:pStyle w:val="Table-Headings"/>
            </w:pPr>
            <w:r>
              <w:t>UK</w:t>
            </w:r>
          </w:p>
        </w:tc>
        <w:tc>
          <w:tcPr>
            <w:tcW w:w="892" w:type="dxa"/>
            <w:tcBorders>
              <w:top w:val="nil"/>
              <w:left w:val="nil"/>
              <w:bottom w:val="nil"/>
              <w:right w:val="nil"/>
            </w:tcBorders>
            <w:tcMar>
              <w:top w:w="45" w:type="dxa"/>
              <w:left w:w="0" w:type="dxa"/>
              <w:bottom w:w="0" w:type="dxa"/>
              <w:right w:w="0" w:type="dxa"/>
            </w:tcMar>
            <w:vAlign w:val="bottom"/>
          </w:tcPr>
          <w:p w14:paraId="54CC614C" w14:textId="77777777" w:rsidR="0062640D" w:rsidRDefault="00C12A80">
            <w:pPr>
              <w:pStyle w:val="Table-Headings"/>
            </w:pPr>
            <w:r>
              <w:t>Continental Europe</w:t>
            </w:r>
          </w:p>
        </w:tc>
        <w:tc>
          <w:tcPr>
            <w:tcW w:w="892" w:type="dxa"/>
            <w:tcBorders>
              <w:top w:val="nil"/>
              <w:left w:val="nil"/>
              <w:bottom w:val="nil"/>
              <w:right w:val="nil"/>
            </w:tcBorders>
            <w:tcMar>
              <w:top w:w="45" w:type="dxa"/>
              <w:left w:w="0" w:type="dxa"/>
              <w:bottom w:w="0" w:type="dxa"/>
              <w:right w:w="0" w:type="dxa"/>
            </w:tcMar>
            <w:vAlign w:val="bottom"/>
          </w:tcPr>
          <w:p w14:paraId="3FBD7DE5" w14:textId="77777777" w:rsidR="0062640D" w:rsidRDefault="00C12A80">
            <w:pPr>
              <w:pStyle w:val="Table-Headings"/>
            </w:pPr>
            <w:r>
              <w:t>Total</w:t>
            </w:r>
          </w:p>
        </w:tc>
        <w:tc>
          <w:tcPr>
            <w:tcW w:w="60" w:type="dxa"/>
            <w:tcBorders>
              <w:top w:val="none" w:sz="8" w:space="0" w:color="auto"/>
              <w:left w:val="nil"/>
              <w:bottom w:val="none" w:sz="8" w:space="0" w:color="auto"/>
              <w:right w:val="nil"/>
            </w:tcBorders>
            <w:tcMar>
              <w:top w:w="45" w:type="dxa"/>
              <w:left w:w="0" w:type="dxa"/>
              <w:bottom w:w="0" w:type="dxa"/>
              <w:right w:w="0" w:type="dxa"/>
            </w:tcMar>
            <w:vAlign w:val="bottom"/>
          </w:tcPr>
          <w:p w14:paraId="63939980" w14:textId="77777777" w:rsidR="0062640D" w:rsidRDefault="0062640D"/>
        </w:tc>
        <w:tc>
          <w:tcPr>
            <w:tcW w:w="892" w:type="dxa"/>
            <w:tcBorders>
              <w:top w:val="nil"/>
              <w:left w:val="nil"/>
              <w:bottom w:val="nil"/>
              <w:right w:val="nil"/>
            </w:tcBorders>
            <w:tcMar>
              <w:top w:w="45" w:type="dxa"/>
              <w:left w:w="0" w:type="dxa"/>
              <w:bottom w:w="0" w:type="dxa"/>
              <w:right w:w="0" w:type="dxa"/>
            </w:tcMar>
            <w:vAlign w:val="bottom"/>
          </w:tcPr>
          <w:p w14:paraId="30749F23" w14:textId="77777777" w:rsidR="0062640D" w:rsidRDefault="00C12A80">
            <w:pPr>
              <w:pStyle w:val="Table-Headings"/>
            </w:pPr>
            <w:r>
              <w:t>Republic of Ireland</w:t>
            </w:r>
          </w:p>
        </w:tc>
        <w:tc>
          <w:tcPr>
            <w:tcW w:w="892" w:type="dxa"/>
            <w:tcBorders>
              <w:top w:val="nil"/>
              <w:left w:val="nil"/>
              <w:bottom w:val="nil"/>
              <w:right w:val="nil"/>
            </w:tcBorders>
            <w:tcMar>
              <w:top w:w="45" w:type="dxa"/>
              <w:left w:w="0" w:type="dxa"/>
              <w:bottom w:w="0" w:type="dxa"/>
              <w:right w:w="0" w:type="dxa"/>
            </w:tcMar>
            <w:vAlign w:val="bottom"/>
          </w:tcPr>
          <w:p w14:paraId="0509E12D" w14:textId="77777777" w:rsidR="0062640D" w:rsidRDefault="00C12A80">
            <w:pPr>
              <w:pStyle w:val="Table-Headings"/>
            </w:pPr>
            <w:r>
              <w:t>UK</w:t>
            </w:r>
          </w:p>
        </w:tc>
        <w:tc>
          <w:tcPr>
            <w:tcW w:w="892" w:type="dxa"/>
            <w:tcBorders>
              <w:top w:val="nil"/>
              <w:left w:val="nil"/>
              <w:bottom w:val="nil"/>
              <w:right w:val="nil"/>
            </w:tcBorders>
            <w:tcMar>
              <w:top w:w="45" w:type="dxa"/>
              <w:left w:w="0" w:type="dxa"/>
              <w:bottom w:w="0" w:type="dxa"/>
              <w:right w:w="0" w:type="dxa"/>
            </w:tcMar>
            <w:vAlign w:val="bottom"/>
          </w:tcPr>
          <w:p w14:paraId="67103E8E" w14:textId="77777777" w:rsidR="0062640D" w:rsidRDefault="00C12A80">
            <w:pPr>
              <w:pStyle w:val="Table-Headings"/>
            </w:pPr>
            <w:r>
              <w:t>Continental Europe</w:t>
            </w:r>
          </w:p>
        </w:tc>
        <w:tc>
          <w:tcPr>
            <w:tcW w:w="892" w:type="dxa"/>
            <w:tcBorders>
              <w:top w:val="nil"/>
              <w:left w:val="nil"/>
              <w:bottom w:val="nil"/>
              <w:right w:val="nil"/>
            </w:tcBorders>
            <w:tcMar>
              <w:top w:w="45" w:type="dxa"/>
              <w:left w:w="0" w:type="dxa"/>
              <w:bottom w:w="0" w:type="dxa"/>
              <w:right w:w="0" w:type="dxa"/>
            </w:tcMar>
            <w:vAlign w:val="bottom"/>
          </w:tcPr>
          <w:p w14:paraId="753CCB2A" w14:textId="77777777" w:rsidR="0062640D" w:rsidRDefault="00C12A80">
            <w:pPr>
              <w:pStyle w:val="Table-Headings"/>
            </w:pPr>
            <w:r>
              <w:t>Total</w:t>
            </w:r>
          </w:p>
        </w:tc>
      </w:tr>
      <w:tr w:rsidR="0062640D" w14:paraId="45D4C577" w14:textId="77777777">
        <w:tc>
          <w:tcPr>
            <w:tcW w:w="2881" w:type="dxa"/>
            <w:tcBorders>
              <w:top w:val="nil"/>
              <w:left w:val="nil"/>
              <w:bottom w:val="single" w:sz="6" w:space="0" w:color="FF777C"/>
              <w:right w:val="nil"/>
            </w:tcBorders>
            <w:tcMar>
              <w:top w:w="45" w:type="dxa"/>
              <w:left w:w="0" w:type="dxa"/>
              <w:bottom w:w="56" w:type="dxa"/>
              <w:right w:w="0" w:type="dxa"/>
            </w:tcMar>
            <w:vAlign w:val="bottom"/>
          </w:tcPr>
          <w:p w14:paraId="2E95C861" w14:textId="77777777" w:rsidR="0062640D" w:rsidRDefault="0062640D"/>
        </w:tc>
        <w:tc>
          <w:tcPr>
            <w:tcW w:w="892" w:type="dxa"/>
            <w:tcBorders>
              <w:top w:val="nil"/>
              <w:left w:val="nil"/>
              <w:bottom w:val="single" w:sz="6" w:space="0" w:color="FF777C"/>
              <w:right w:val="nil"/>
            </w:tcBorders>
            <w:tcMar>
              <w:top w:w="45" w:type="dxa"/>
              <w:left w:w="0" w:type="dxa"/>
              <w:bottom w:w="56" w:type="dxa"/>
              <w:right w:w="0" w:type="dxa"/>
            </w:tcMar>
            <w:vAlign w:val="bottom"/>
          </w:tcPr>
          <w:p w14:paraId="4334F952" w14:textId="77777777" w:rsidR="0062640D" w:rsidRDefault="00C12A80">
            <w:pPr>
              <w:pStyle w:val="Table-Headings"/>
            </w:pPr>
            <w:r>
              <w:t>€’000</w:t>
            </w:r>
          </w:p>
        </w:tc>
        <w:tc>
          <w:tcPr>
            <w:tcW w:w="892" w:type="dxa"/>
            <w:tcBorders>
              <w:top w:val="nil"/>
              <w:left w:val="nil"/>
              <w:bottom w:val="single" w:sz="6" w:space="0" w:color="FF777C"/>
              <w:right w:val="nil"/>
            </w:tcBorders>
            <w:tcMar>
              <w:top w:w="45" w:type="dxa"/>
              <w:left w:w="0" w:type="dxa"/>
              <w:bottom w:w="56" w:type="dxa"/>
              <w:right w:w="0" w:type="dxa"/>
            </w:tcMar>
            <w:vAlign w:val="bottom"/>
          </w:tcPr>
          <w:p w14:paraId="624D8E96" w14:textId="77777777" w:rsidR="0062640D" w:rsidRDefault="00C12A80">
            <w:pPr>
              <w:pStyle w:val="Table-Headings"/>
            </w:pPr>
            <w:r>
              <w:t>€’000</w:t>
            </w:r>
          </w:p>
        </w:tc>
        <w:tc>
          <w:tcPr>
            <w:tcW w:w="892" w:type="dxa"/>
            <w:tcBorders>
              <w:top w:val="nil"/>
              <w:left w:val="nil"/>
              <w:bottom w:val="single" w:sz="6" w:space="0" w:color="FF777C"/>
              <w:right w:val="nil"/>
            </w:tcBorders>
            <w:tcMar>
              <w:top w:w="45" w:type="dxa"/>
              <w:left w:w="0" w:type="dxa"/>
              <w:bottom w:w="56" w:type="dxa"/>
              <w:right w:w="0" w:type="dxa"/>
            </w:tcMar>
            <w:vAlign w:val="bottom"/>
          </w:tcPr>
          <w:p w14:paraId="5463FB7D" w14:textId="77777777" w:rsidR="0062640D" w:rsidRDefault="00C12A80">
            <w:pPr>
              <w:pStyle w:val="Table-Headings"/>
            </w:pPr>
            <w:r>
              <w:t>€’000</w:t>
            </w:r>
          </w:p>
        </w:tc>
        <w:tc>
          <w:tcPr>
            <w:tcW w:w="892" w:type="dxa"/>
            <w:tcBorders>
              <w:top w:val="nil"/>
              <w:left w:val="nil"/>
              <w:bottom w:val="single" w:sz="6" w:space="0" w:color="FF777C"/>
              <w:right w:val="nil"/>
            </w:tcBorders>
            <w:tcMar>
              <w:top w:w="45" w:type="dxa"/>
              <w:left w:w="0" w:type="dxa"/>
              <w:bottom w:w="56" w:type="dxa"/>
              <w:right w:w="0" w:type="dxa"/>
            </w:tcMar>
            <w:vAlign w:val="bottom"/>
          </w:tcPr>
          <w:p w14:paraId="1AB3D2F0" w14:textId="77777777" w:rsidR="0062640D" w:rsidRDefault="00C12A80">
            <w:pPr>
              <w:pStyle w:val="Table-Headings"/>
            </w:pPr>
            <w:r>
              <w:t>€’000</w:t>
            </w:r>
          </w:p>
        </w:tc>
        <w:tc>
          <w:tcPr>
            <w:tcW w:w="60" w:type="dxa"/>
            <w:tcBorders>
              <w:top w:val="none" w:sz="8" w:space="0" w:color="auto"/>
              <w:left w:val="nil"/>
              <w:bottom w:val="none" w:sz="8" w:space="0" w:color="auto"/>
              <w:right w:val="nil"/>
            </w:tcBorders>
            <w:tcMar>
              <w:top w:w="45" w:type="dxa"/>
              <w:left w:w="0" w:type="dxa"/>
              <w:bottom w:w="56" w:type="dxa"/>
              <w:right w:w="0" w:type="dxa"/>
            </w:tcMar>
            <w:vAlign w:val="bottom"/>
          </w:tcPr>
          <w:p w14:paraId="7FB00392" w14:textId="77777777" w:rsidR="0062640D" w:rsidRDefault="0062640D"/>
        </w:tc>
        <w:tc>
          <w:tcPr>
            <w:tcW w:w="892" w:type="dxa"/>
            <w:tcBorders>
              <w:top w:val="nil"/>
              <w:left w:val="nil"/>
              <w:bottom w:val="single" w:sz="6" w:space="0" w:color="FF777C"/>
              <w:right w:val="nil"/>
            </w:tcBorders>
            <w:tcMar>
              <w:top w:w="45" w:type="dxa"/>
              <w:left w:w="0" w:type="dxa"/>
              <w:bottom w:w="56" w:type="dxa"/>
              <w:right w:w="0" w:type="dxa"/>
            </w:tcMar>
            <w:vAlign w:val="bottom"/>
          </w:tcPr>
          <w:p w14:paraId="142F78AC" w14:textId="61EB2F1B" w:rsidR="0062640D" w:rsidRDefault="00C12A80" w:rsidP="00565E9B">
            <w:pPr>
              <w:pStyle w:val="Table-Headings"/>
            </w:pPr>
            <w:r>
              <w:t>€’000</w:t>
            </w:r>
          </w:p>
        </w:tc>
        <w:tc>
          <w:tcPr>
            <w:tcW w:w="892" w:type="dxa"/>
            <w:tcBorders>
              <w:top w:val="nil"/>
              <w:left w:val="nil"/>
              <w:bottom w:val="single" w:sz="6" w:space="0" w:color="FF777C"/>
              <w:right w:val="nil"/>
            </w:tcBorders>
            <w:tcMar>
              <w:top w:w="45" w:type="dxa"/>
              <w:left w:w="0" w:type="dxa"/>
              <w:bottom w:w="56" w:type="dxa"/>
              <w:right w:w="0" w:type="dxa"/>
            </w:tcMar>
            <w:vAlign w:val="bottom"/>
          </w:tcPr>
          <w:p w14:paraId="7C350B23" w14:textId="77777777" w:rsidR="0062640D" w:rsidRDefault="00C12A80">
            <w:pPr>
              <w:pStyle w:val="Table-Headings"/>
            </w:pPr>
            <w:r>
              <w:t>€’000</w:t>
            </w:r>
          </w:p>
        </w:tc>
        <w:tc>
          <w:tcPr>
            <w:tcW w:w="892" w:type="dxa"/>
            <w:tcBorders>
              <w:top w:val="nil"/>
              <w:left w:val="nil"/>
              <w:bottom w:val="single" w:sz="6" w:space="0" w:color="FF777C"/>
              <w:right w:val="nil"/>
            </w:tcBorders>
            <w:tcMar>
              <w:top w:w="45" w:type="dxa"/>
              <w:left w:w="0" w:type="dxa"/>
              <w:bottom w:w="56" w:type="dxa"/>
              <w:right w:w="0" w:type="dxa"/>
            </w:tcMar>
            <w:vAlign w:val="bottom"/>
          </w:tcPr>
          <w:p w14:paraId="0B44A10D" w14:textId="0A64BEA8" w:rsidR="0062640D" w:rsidRDefault="00C12A80" w:rsidP="00565E9B">
            <w:pPr>
              <w:pStyle w:val="Table-Headings"/>
            </w:pPr>
            <w:r>
              <w:t>€’000</w:t>
            </w:r>
          </w:p>
        </w:tc>
        <w:tc>
          <w:tcPr>
            <w:tcW w:w="892" w:type="dxa"/>
            <w:tcBorders>
              <w:top w:val="nil"/>
              <w:left w:val="nil"/>
              <w:bottom w:val="single" w:sz="6" w:space="0" w:color="FF777C"/>
              <w:right w:val="nil"/>
            </w:tcBorders>
            <w:tcMar>
              <w:top w:w="45" w:type="dxa"/>
              <w:left w:w="0" w:type="dxa"/>
              <w:bottom w:w="56" w:type="dxa"/>
              <w:right w:w="0" w:type="dxa"/>
            </w:tcMar>
            <w:vAlign w:val="bottom"/>
          </w:tcPr>
          <w:p w14:paraId="3EBBCDD9" w14:textId="6284BAC4" w:rsidR="0062640D" w:rsidRDefault="00C12A80" w:rsidP="00565E9B">
            <w:pPr>
              <w:pStyle w:val="Table-Headings"/>
            </w:pPr>
            <w:r>
              <w:t>€’000</w:t>
            </w:r>
          </w:p>
        </w:tc>
      </w:tr>
      <w:tr w:rsidR="0062640D" w14:paraId="6D0C131D" w14:textId="77777777">
        <w:tc>
          <w:tcPr>
            <w:tcW w:w="2881" w:type="dxa"/>
            <w:tcBorders>
              <w:top w:val="single" w:sz="6" w:space="0" w:color="FF777C"/>
              <w:left w:val="nil"/>
              <w:bottom w:val="nil"/>
              <w:right w:val="nil"/>
            </w:tcBorders>
            <w:tcMar>
              <w:top w:w="56" w:type="dxa"/>
              <w:left w:w="0" w:type="dxa"/>
              <w:bottom w:w="85" w:type="dxa"/>
              <w:right w:w="0" w:type="dxa"/>
            </w:tcMar>
            <w:vAlign w:val="bottom"/>
          </w:tcPr>
          <w:p w14:paraId="0EA83296" w14:textId="77777777" w:rsidR="0062640D" w:rsidRDefault="00C12A80">
            <w:pPr>
              <w:pStyle w:val="Heading-2"/>
            </w:pPr>
            <w:r>
              <w:t>Other information</w:t>
            </w:r>
          </w:p>
        </w:tc>
        <w:tc>
          <w:tcPr>
            <w:tcW w:w="892" w:type="dxa"/>
            <w:tcBorders>
              <w:top w:val="single" w:sz="6" w:space="0" w:color="FF777C"/>
              <w:left w:val="nil"/>
              <w:bottom w:val="nil"/>
              <w:right w:val="nil"/>
            </w:tcBorders>
            <w:tcMar>
              <w:top w:w="56" w:type="dxa"/>
              <w:left w:w="0" w:type="dxa"/>
              <w:bottom w:w="85" w:type="dxa"/>
              <w:right w:w="0" w:type="dxa"/>
            </w:tcMar>
            <w:vAlign w:val="bottom"/>
          </w:tcPr>
          <w:p w14:paraId="65A95B7D" w14:textId="77777777" w:rsidR="0062640D" w:rsidRDefault="0062640D"/>
        </w:tc>
        <w:tc>
          <w:tcPr>
            <w:tcW w:w="892" w:type="dxa"/>
            <w:tcBorders>
              <w:top w:val="single" w:sz="6" w:space="0" w:color="FF777C"/>
              <w:left w:val="nil"/>
              <w:bottom w:val="nil"/>
              <w:right w:val="nil"/>
            </w:tcBorders>
            <w:tcMar>
              <w:top w:w="56" w:type="dxa"/>
              <w:left w:w="0" w:type="dxa"/>
              <w:bottom w:w="85" w:type="dxa"/>
              <w:right w:w="0" w:type="dxa"/>
            </w:tcMar>
            <w:vAlign w:val="bottom"/>
          </w:tcPr>
          <w:p w14:paraId="2D27B0B0" w14:textId="77777777" w:rsidR="0062640D" w:rsidRDefault="0062640D"/>
        </w:tc>
        <w:tc>
          <w:tcPr>
            <w:tcW w:w="892" w:type="dxa"/>
            <w:tcBorders>
              <w:top w:val="single" w:sz="6" w:space="0" w:color="FF777C"/>
              <w:left w:val="nil"/>
              <w:bottom w:val="nil"/>
              <w:right w:val="nil"/>
            </w:tcBorders>
            <w:tcMar>
              <w:top w:w="56" w:type="dxa"/>
              <w:left w:w="0" w:type="dxa"/>
              <w:bottom w:w="85" w:type="dxa"/>
              <w:right w:w="0" w:type="dxa"/>
            </w:tcMar>
            <w:vAlign w:val="bottom"/>
          </w:tcPr>
          <w:p w14:paraId="66B22774" w14:textId="77777777" w:rsidR="0062640D" w:rsidRDefault="0062640D"/>
        </w:tc>
        <w:tc>
          <w:tcPr>
            <w:tcW w:w="892" w:type="dxa"/>
            <w:tcBorders>
              <w:top w:val="single" w:sz="6" w:space="0" w:color="FF777C"/>
              <w:left w:val="nil"/>
              <w:bottom w:val="nil"/>
              <w:right w:val="nil"/>
            </w:tcBorders>
            <w:tcMar>
              <w:top w:w="56" w:type="dxa"/>
              <w:left w:w="0" w:type="dxa"/>
              <w:bottom w:w="85" w:type="dxa"/>
              <w:right w:w="0" w:type="dxa"/>
            </w:tcMar>
            <w:vAlign w:val="bottom"/>
          </w:tcPr>
          <w:p w14:paraId="5BA06CF9" w14:textId="77777777" w:rsidR="0062640D" w:rsidRDefault="0062640D"/>
        </w:tc>
        <w:tc>
          <w:tcPr>
            <w:tcW w:w="60" w:type="dxa"/>
            <w:tcBorders>
              <w:top w:val="none" w:sz="8" w:space="0" w:color="auto"/>
              <w:left w:val="nil"/>
              <w:bottom w:val="none" w:sz="8" w:space="0" w:color="auto"/>
              <w:right w:val="nil"/>
            </w:tcBorders>
            <w:tcMar>
              <w:top w:w="56" w:type="dxa"/>
              <w:left w:w="0" w:type="dxa"/>
              <w:bottom w:w="85" w:type="dxa"/>
              <w:right w:w="0" w:type="dxa"/>
            </w:tcMar>
            <w:vAlign w:val="bottom"/>
          </w:tcPr>
          <w:p w14:paraId="34817283" w14:textId="77777777" w:rsidR="0062640D" w:rsidRDefault="0062640D"/>
        </w:tc>
        <w:tc>
          <w:tcPr>
            <w:tcW w:w="892" w:type="dxa"/>
            <w:tcBorders>
              <w:top w:val="single" w:sz="6" w:space="0" w:color="FF777C"/>
              <w:left w:val="nil"/>
              <w:bottom w:val="nil"/>
              <w:right w:val="nil"/>
            </w:tcBorders>
            <w:tcMar>
              <w:top w:w="56" w:type="dxa"/>
              <w:left w:w="0" w:type="dxa"/>
              <w:bottom w:w="85" w:type="dxa"/>
              <w:right w:w="0" w:type="dxa"/>
            </w:tcMar>
            <w:vAlign w:val="bottom"/>
          </w:tcPr>
          <w:p w14:paraId="6512CE33" w14:textId="77777777" w:rsidR="0062640D" w:rsidRDefault="0062640D"/>
        </w:tc>
        <w:tc>
          <w:tcPr>
            <w:tcW w:w="892" w:type="dxa"/>
            <w:tcBorders>
              <w:top w:val="single" w:sz="6" w:space="0" w:color="FF777C"/>
              <w:left w:val="nil"/>
              <w:bottom w:val="nil"/>
              <w:right w:val="nil"/>
            </w:tcBorders>
            <w:tcMar>
              <w:top w:w="56" w:type="dxa"/>
              <w:left w:w="0" w:type="dxa"/>
              <w:bottom w:w="85" w:type="dxa"/>
              <w:right w:w="0" w:type="dxa"/>
            </w:tcMar>
            <w:vAlign w:val="bottom"/>
          </w:tcPr>
          <w:p w14:paraId="1D7D66BA" w14:textId="77777777" w:rsidR="0062640D" w:rsidRDefault="0062640D"/>
        </w:tc>
        <w:tc>
          <w:tcPr>
            <w:tcW w:w="892" w:type="dxa"/>
            <w:tcBorders>
              <w:top w:val="single" w:sz="6" w:space="0" w:color="FF777C"/>
              <w:left w:val="nil"/>
              <w:bottom w:val="nil"/>
              <w:right w:val="nil"/>
            </w:tcBorders>
            <w:tcMar>
              <w:top w:w="56" w:type="dxa"/>
              <w:left w:w="0" w:type="dxa"/>
              <w:bottom w:w="85" w:type="dxa"/>
              <w:right w:w="0" w:type="dxa"/>
            </w:tcMar>
            <w:vAlign w:val="bottom"/>
          </w:tcPr>
          <w:p w14:paraId="6EDAAC22" w14:textId="77777777" w:rsidR="0062640D" w:rsidRDefault="0062640D"/>
        </w:tc>
        <w:tc>
          <w:tcPr>
            <w:tcW w:w="892" w:type="dxa"/>
            <w:tcBorders>
              <w:top w:val="single" w:sz="6" w:space="0" w:color="FF777C"/>
              <w:left w:val="nil"/>
              <w:bottom w:val="nil"/>
              <w:right w:val="nil"/>
            </w:tcBorders>
            <w:tcMar>
              <w:top w:w="56" w:type="dxa"/>
              <w:left w:w="0" w:type="dxa"/>
              <w:bottom w:w="85" w:type="dxa"/>
              <w:right w:w="0" w:type="dxa"/>
            </w:tcMar>
            <w:vAlign w:val="bottom"/>
          </w:tcPr>
          <w:p w14:paraId="560A87E4" w14:textId="77777777" w:rsidR="0062640D" w:rsidRDefault="0062640D"/>
        </w:tc>
      </w:tr>
      <w:tr w:rsidR="0062640D" w14:paraId="20EA940E" w14:textId="77777777">
        <w:tc>
          <w:tcPr>
            <w:tcW w:w="2881" w:type="dxa"/>
            <w:tcBorders>
              <w:top w:val="nil"/>
              <w:left w:val="none" w:sz="8" w:space="0" w:color="auto"/>
              <w:bottom w:val="none" w:sz="8" w:space="0" w:color="auto"/>
              <w:right w:val="none" w:sz="8" w:space="0" w:color="auto"/>
            </w:tcBorders>
            <w:tcMar>
              <w:top w:w="56" w:type="dxa"/>
              <w:left w:w="0" w:type="dxa"/>
              <w:bottom w:w="85" w:type="dxa"/>
              <w:right w:w="0" w:type="dxa"/>
            </w:tcMar>
            <w:vAlign w:val="bottom"/>
          </w:tcPr>
          <w:p w14:paraId="03461ED9" w14:textId="77777777" w:rsidR="0062640D" w:rsidRDefault="00C12A80">
            <w:r>
              <w:t>Variable lease costs</w:t>
            </w:r>
          </w:p>
        </w:tc>
        <w:tc>
          <w:tcPr>
            <w:tcW w:w="892" w:type="dxa"/>
            <w:tcBorders>
              <w:top w:val="nil"/>
              <w:left w:val="none" w:sz="8" w:space="0" w:color="auto"/>
              <w:bottom w:val="none" w:sz="8" w:space="0" w:color="auto"/>
              <w:right w:val="none" w:sz="8" w:space="0" w:color="auto"/>
            </w:tcBorders>
            <w:tcMar>
              <w:top w:w="56" w:type="dxa"/>
              <w:left w:w="0" w:type="dxa"/>
              <w:bottom w:w="85" w:type="dxa"/>
              <w:right w:w="0" w:type="dxa"/>
            </w:tcMar>
            <w:vAlign w:val="bottom"/>
          </w:tcPr>
          <w:p w14:paraId="341A201B" w14:textId="77777777" w:rsidR="0062640D" w:rsidRDefault="00C12A80">
            <w:pPr>
              <w:pStyle w:val="AccountsBold"/>
            </w:pPr>
            <w:r>
              <w:t>2,209</w:t>
            </w:r>
          </w:p>
        </w:tc>
        <w:tc>
          <w:tcPr>
            <w:tcW w:w="892" w:type="dxa"/>
            <w:tcBorders>
              <w:top w:val="nil"/>
              <w:left w:val="none" w:sz="8" w:space="0" w:color="auto"/>
              <w:bottom w:val="none" w:sz="8" w:space="0" w:color="auto"/>
              <w:right w:val="none" w:sz="8" w:space="0" w:color="auto"/>
            </w:tcBorders>
            <w:tcMar>
              <w:top w:w="56" w:type="dxa"/>
              <w:left w:w="0" w:type="dxa"/>
              <w:bottom w:w="85" w:type="dxa"/>
              <w:right w:w="0" w:type="dxa"/>
            </w:tcMar>
            <w:vAlign w:val="bottom"/>
          </w:tcPr>
          <w:p w14:paraId="694E8B44" w14:textId="77777777" w:rsidR="0062640D" w:rsidRDefault="00C12A80">
            <w:pPr>
              <w:pStyle w:val="AccountsBold"/>
            </w:pPr>
            <w:r>
              <w:t>338</w:t>
            </w:r>
          </w:p>
        </w:tc>
        <w:tc>
          <w:tcPr>
            <w:tcW w:w="892" w:type="dxa"/>
            <w:tcBorders>
              <w:top w:val="nil"/>
              <w:left w:val="none" w:sz="8" w:space="0" w:color="auto"/>
              <w:bottom w:val="none" w:sz="8" w:space="0" w:color="auto"/>
              <w:right w:val="none" w:sz="8" w:space="0" w:color="auto"/>
            </w:tcBorders>
            <w:tcMar>
              <w:top w:w="56" w:type="dxa"/>
              <w:left w:w="0" w:type="dxa"/>
              <w:bottom w:w="85" w:type="dxa"/>
              <w:right w:w="0" w:type="dxa"/>
            </w:tcMar>
            <w:vAlign w:val="bottom"/>
          </w:tcPr>
          <w:p w14:paraId="0541B049" w14:textId="77777777" w:rsidR="0062640D" w:rsidRDefault="00C12A80">
            <w:pPr>
              <w:pStyle w:val="AccountsBold"/>
            </w:pPr>
            <w:r>
              <w:t>97</w:t>
            </w:r>
          </w:p>
        </w:tc>
        <w:tc>
          <w:tcPr>
            <w:tcW w:w="892" w:type="dxa"/>
            <w:tcBorders>
              <w:top w:val="nil"/>
              <w:left w:val="none" w:sz="8" w:space="0" w:color="auto"/>
              <w:bottom w:val="none" w:sz="8" w:space="0" w:color="auto"/>
              <w:right w:val="nil"/>
            </w:tcBorders>
            <w:tcMar>
              <w:top w:w="56" w:type="dxa"/>
              <w:left w:w="0" w:type="dxa"/>
              <w:bottom w:w="85" w:type="dxa"/>
              <w:right w:w="0" w:type="dxa"/>
            </w:tcMar>
            <w:vAlign w:val="bottom"/>
          </w:tcPr>
          <w:p w14:paraId="4414884E" w14:textId="77777777" w:rsidR="0062640D" w:rsidRDefault="00C12A80">
            <w:pPr>
              <w:pStyle w:val="AccountsBold"/>
            </w:pPr>
            <w:r>
              <w:t>2,644</w:t>
            </w:r>
          </w:p>
        </w:tc>
        <w:tc>
          <w:tcPr>
            <w:tcW w:w="60" w:type="dxa"/>
            <w:tcBorders>
              <w:top w:val="none" w:sz="8" w:space="0" w:color="auto"/>
              <w:left w:val="nil"/>
              <w:bottom w:val="none" w:sz="8" w:space="0" w:color="auto"/>
              <w:right w:val="nil"/>
            </w:tcBorders>
            <w:tcMar>
              <w:top w:w="56" w:type="dxa"/>
              <w:left w:w="0" w:type="dxa"/>
              <w:bottom w:w="85" w:type="dxa"/>
              <w:right w:w="0" w:type="dxa"/>
            </w:tcMar>
            <w:vAlign w:val="bottom"/>
          </w:tcPr>
          <w:p w14:paraId="62BE037B" w14:textId="77777777" w:rsidR="0062640D" w:rsidRDefault="0062640D"/>
        </w:tc>
        <w:tc>
          <w:tcPr>
            <w:tcW w:w="892" w:type="dxa"/>
            <w:tcBorders>
              <w:top w:val="nil"/>
              <w:left w:val="nil"/>
              <w:bottom w:val="none" w:sz="8" w:space="0" w:color="auto"/>
              <w:right w:val="none" w:sz="8" w:space="0" w:color="auto"/>
            </w:tcBorders>
            <w:tcMar>
              <w:top w:w="56" w:type="dxa"/>
              <w:left w:w="0" w:type="dxa"/>
              <w:bottom w:w="85" w:type="dxa"/>
              <w:right w:w="0" w:type="dxa"/>
            </w:tcMar>
            <w:vAlign w:val="bottom"/>
          </w:tcPr>
          <w:p w14:paraId="2E987C26" w14:textId="77777777" w:rsidR="0062640D" w:rsidRDefault="00C12A80">
            <w:pPr>
              <w:pStyle w:val="Accounts"/>
            </w:pPr>
            <w:r>
              <w:t>2,262</w:t>
            </w:r>
          </w:p>
        </w:tc>
        <w:tc>
          <w:tcPr>
            <w:tcW w:w="892" w:type="dxa"/>
            <w:tcBorders>
              <w:top w:val="nil"/>
              <w:left w:val="none" w:sz="8" w:space="0" w:color="auto"/>
              <w:bottom w:val="none" w:sz="8" w:space="0" w:color="auto"/>
              <w:right w:val="none" w:sz="8" w:space="0" w:color="auto"/>
            </w:tcBorders>
            <w:tcMar>
              <w:top w:w="56" w:type="dxa"/>
              <w:left w:w="0" w:type="dxa"/>
              <w:bottom w:w="85" w:type="dxa"/>
              <w:right w:w="0" w:type="dxa"/>
            </w:tcMar>
            <w:vAlign w:val="bottom"/>
          </w:tcPr>
          <w:p w14:paraId="2ADF77F3" w14:textId="77777777" w:rsidR="0062640D" w:rsidRDefault="00C12A80">
            <w:pPr>
              <w:pStyle w:val="Accounts"/>
            </w:pPr>
            <w:r>
              <w:t>576</w:t>
            </w:r>
          </w:p>
        </w:tc>
        <w:tc>
          <w:tcPr>
            <w:tcW w:w="892" w:type="dxa"/>
            <w:tcBorders>
              <w:top w:val="nil"/>
              <w:left w:val="none" w:sz="8" w:space="0" w:color="auto"/>
              <w:bottom w:val="none" w:sz="8" w:space="0" w:color="auto"/>
              <w:right w:val="none" w:sz="8" w:space="0" w:color="auto"/>
            </w:tcBorders>
            <w:tcMar>
              <w:top w:w="56" w:type="dxa"/>
              <w:left w:w="0" w:type="dxa"/>
              <w:bottom w:w="85" w:type="dxa"/>
              <w:right w:w="0" w:type="dxa"/>
            </w:tcMar>
            <w:vAlign w:val="bottom"/>
          </w:tcPr>
          <w:p w14:paraId="5A097D51" w14:textId="77777777" w:rsidR="0062640D" w:rsidRDefault="00C12A80">
            <w:pPr>
              <w:pStyle w:val="Accounts"/>
            </w:pPr>
            <w:r>
              <w:t>792</w:t>
            </w:r>
          </w:p>
        </w:tc>
        <w:tc>
          <w:tcPr>
            <w:tcW w:w="892" w:type="dxa"/>
            <w:tcBorders>
              <w:top w:val="nil"/>
              <w:left w:val="none" w:sz="8" w:space="0" w:color="auto"/>
              <w:bottom w:val="none" w:sz="8" w:space="0" w:color="auto"/>
              <w:right w:val="none" w:sz="8" w:space="0" w:color="auto"/>
            </w:tcBorders>
            <w:tcMar>
              <w:top w:w="56" w:type="dxa"/>
              <w:left w:w="0" w:type="dxa"/>
              <w:bottom w:w="85" w:type="dxa"/>
              <w:right w:w="0" w:type="dxa"/>
            </w:tcMar>
            <w:vAlign w:val="bottom"/>
          </w:tcPr>
          <w:p w14:paraId="391976AD" w14:textId="77777777" w:rsidR="0062640D" w:rsidRDefault="00C12A80">
            <w:pPr>
              <w:pStyle w:val="Accounts"/>
            </w:pPr>
            <w:r>
              <w:t>3,630</w:t>
            </w:r>
          </w:p>
        </w:tc>
      </w:tr>
      <w:tr w:rsidR="0062640D" w14:paraId="16A36C83" w14:textId="77777777">
        <w:tc>
          <w:tcPr>
            <w:tcW w:w="2881"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623EA251" w14:textId="77777777" w:rsidR="0062640D" w:rsidRDefault="00C12A80">
            <w:r>
              <w:t>Depreciation of property, plant and equipment</w:t>
            </w:r>
          </w:p>
        </w:tc>
        <w:tc>
          <w:tcPr>
            <w:tcW w:w="892"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7E5F756" w14:textId="77777777" w:rsidR="0062640D" w:rsidRDefault="00C12A80">
            <w:pPr>
              <w:pStyle w:val="AccountsBold"/>
            </w:pPr>
            <w:r>
              <w:t>22,149</w:t>
            </w:r>
          </w:p>
        </w:tc>
        <w:tc>
          <w:tcPr>
            <w:tcW w:w="892"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6C4E6605" w14:textId="77777777" w:rsidR="0062640D" w:rsidRDefault="00C12A80">
            <w:pPr>
              <w:pStyle w:val="AccountsBold"/>
            </w:pPr>
            <w:r>
              <w:t>15,406</w:t>
            </w:r>
          </w:p>
        </w:tc>
        <w:tc>
          <w:tcPr>
            <w:tcW w:w="892"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6ACCE79" w14:textId="77777777" w:rsidR="0062640D" w:rsidRDefault="00C12A80">
            <w:pPr>
              <w:pStyle w:val="AccountsBold"/>
            </w:pPr>
            <w:r>
              <w:t>1,761</w:t>
            </w:r>
          </w:p>
        </w:tc>
        <w:tc>
          <w:tcPr>
            <w:tcW w:w="892" w:type="dxa"/>
            <w:tcBorders>
              <w:top w:val="none" w:sz="8" w:space="0" w:color="auto"/>
              <w:left w:val="none" w:sz="8" w:space="0" w:color="auto"/>
              <w:bottom w:val="none" w:sz="8" w:space="0" w:color="auto"/>
              <w:right w:val="nil"/>
            </w:tcBorders>
            <w:tcMar>
              <w:top w:w="56" w:type="dxa"/>
              <w:left w:w="0" w:type="dxa"/>
              <w:bottom w:w="85" w:type="dxa"/>
              <w:right w:w="0" w:type="dxa"/>
            </w:tcMar>
            <w:vAlign w:val="bottom"/>
          </w:tcPr>
          <w:p w14:paraId="7E79A6C9" w14:textId="77777777" w:rsidR="0062640D" w:rsidRDefault="00C12A80">
            <w:pPr>
              <w:pStyle w:val="AccountsBold"/>
            </w:pPr>
            <w:r>
              <w:t>39,316</w:t>
            </w:r>
          </w:p>
        </w:tc>
        <w:tc>
          <w:tcPr>
            <w:tcW w:w="60" w:type="dxa"/>
            <w:tcBorders>
              <w:top w:val="none" w:sz="8" w:space="0" w:color="auto"/>
              <w:left w:val="nil"/>
              <w:bottom w:val="none" w:sz="8" w:space="0" w:color="auto"/>
              <w:right w:val="nil"/>
            </w:tcBorders>
            <w:tcMar>
              <w:top w:w="56" w:type="dxa"/>
              <w:left w:w="0" w:type="dxa"/>
              <w:bottom w:w="85" w:type="dxa"/>
              <w:right w:w="0" w:type="dxa"/>
            </w:tcMar>
            <w:vAlign w:val="bottom"/>
          </w:tcPr>
          <w:p w14:paraId="1C005B04" w14:textId="77777777" w:rsidR="0062640D" w:rsidRDefault="0062640D"/>
        </w:tc>
        <w:tc>
          <w:tcPr>
            <w:tcW w:w="892" w:type="dxa"/>
            <w:tcBorders>
              <w:top w:val="none" w:sz="8" w:space="0" w:color="auto"/>
              <w:left w:val="nil"/>
              <w:bottom w:val="none" w:sz="8" w:space="0" w:color="auto"/>
              <w:right w:val="none" w:sz="8" w:space="0" w:color="auto"/>
            </w:tcBorders>
            <w:tcMar>
              <w:top w:w="56" w:type="dxa"/>
              <w:left w:w="0" w:type="dxa"/>
              <w:bottom w:w="85" w:type="dxa"/>
              <w:right w:w="0" w:type="dxa"/>
            </w:tcMar>
            <w:vAlign w:val="bottom"/>
          </w:tcPr>
          <w:p w14:paraId="54B074CE" w14:textId="77777777" w:rsidR="0062640D" w:rsidRDefault="00C12A80">
            <w:pPr>
              <w:pStyle w:val="Accounts"/>
            </w:pPr>
            <w:r>
              <w:t>20,500</w:t>
            </w:r>
          </w:p>
        </w:tc>
        <w:tc>
          <w:tcPr>
            <w:tcW w:w="892"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07DE033" w14:textId="77777777" w:rsidR="0062640D" w:rsidRDefault="00C12A80">
            <w:pPr>
              <w:pStyle w:val="Accounts"/>
            </w:pPr>
            <w:r>
              <w:t>11,732</w:t>
            </w:r>
          </w:p>
        </w:tc>
        <w:tc>
          <w:tcPr>
            <w:tcW w:w="892"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80EC471" w14:textId="77777777" w:rsidR="0062640D" w:rsidRDefault="00C12A80">
            <w:pPr>
              <w:pStyle w:val="Accounts"/>
            </w:pPr>
            <w:r>
              <w:t>559</w:t>
            </w:r>
          </w:p>
        </w:tc>
        <w:tc>
          <w:tcPr>
            <w:tcW w:w="892"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7992FA90" w14:textId="77777777" w:rsidR="0062640D" w:rsidRDefault="00C12A80">
            <w:pPr>
              <w:pStyle w:val="Accounts"/>
            </w:pPr>
            <w:r>
              <w:t>32,791</w:t>
            </w:r>
          </w:p>
        </w:tc>
      </w:tr>
      <w:tr w:rsidR="0062640D" w14:paraId="3B84F2D1" w14:textId="77777777">
        <w:tc>
          <w:tcPr>
            <w:tcW w:w="2881"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16869D5B" w14:textId="77777777" w:rsidR="0062640D" w:rsidRDefault="00C12A80">
            <w:r>
              <w:t>Depreciation of right-of-use assets</w:t>
            </w:r>
          </w:p>
        </w:tc>
        <w:tc>
          <w:tcPr>
            <w:tcW w:w="892"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454F75A3" w14:textId="77777777" w:rsidR="0062640D" w:rsidRDefault="00C12A80">
            <w:pPr>
              <w:pStyle w:val="AccountsBold"/>
            </w:pPr>
            <w:r>
              <w:t>16,250</w:t>
            </w:r>
          </w:p>
        </w:tc>
        <w:tc>
          <w:tcPr>
            <w:tcW w:w="892"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1460D64B" w14:textId="77777777" w:rsidR="0062640D" w:rsidRDefault="00C12A80">
            <w:pPr>
              <w:pStyle w:val="AccountsBold"/>
            </w:pPr>
            <w:r>
              <w:t>13,065</w:t>
            </w:r>
          </w:p>
        </w:tc>
        <w:tc>
          <w:tcPr>
            <w:tcW w:w="892"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6209BA2F" w14:textId="77777777" w:rsidR="0062640D" w:rsidRDefault="00C12A80">
            <w:pPr>
              <w:pStyle w:val="AccountsBold"/>
            </w:pPr>
            <w:r>
              <w:t>4,412</w:t>
            </w:r>
          </w:p>
        </w:tc>
        <w:tc>
          <w:tcPr>
            <w:tcW w:w="892" w:type="dxa"/>
            <w:tcBorders>
              <w:top w:val="none" w:sz="8" w:space="0" w:color="auto"/>
              <w:left w:val="none" w:sz="8" w:space="0" w:color="auto"/>
              <w:bottom w:val="nil"/>
              <w:right w:val="nil"/>
            </w:tcBorders>
            <w:tcMar>
              <w:top w:w="56" w:type="dxa"/>
              <w:left w:w="0" w:type="dxa"/>
              <w:bottom w:w="85" w:type="dxa"/>
              <w:right w:w="0" w:type="dxa"/>
            </w:tcMar>
            <w:vAlign w:val="bottom"/>
          </w:tcPr>
          <w:p w14:paraId="2A388D18" w14:textId="77777777" w:rsidR="0062640D" w:rsidRDefault="00C12A80">
            <w:pPr>
              <w:pStyle w:val="AccountsBold"/>
            </w:pPr>
            <w:r>
              <w:t>33,727</w:t>
            </w:r>
          </w:p>
        </w:tc>
        <w:tc>
          <w:tcPr>
            <w:tcW w:w="60" w:type="dxa"/>
            <w:tcBorders>
              <w:top w:val="none" w:sz="8" w:space="0" w:color="auto"/>
              <w:left w:val="nil"/>
              <w:bottom w:val="none" w:sz="8" w:space="0" w:color="auto"/>
              <w:right w:val="nil"/>
            </w:tcBorders>
            <w:tcMar>
              <w:top w:w="56" w:type="dxa"/>
              <w:left w:w="0" w:type="dxa"/>
              <w:bottom w:w="85" w:type="dxa"/>
              <w:right w:w="0" w:type="dxa"/>
            </w:tcMar>
            <w:vAlign w:val="bottom"/>
          </w:tcPr>
          <w:p w14:paraId="56899A66" w14:textId="77777777" w:rsidR="0062640D" w:rsidRDefault="0062640D"/>
        </w:tc>
        <w:tc>
          <w:tcPr>
            <w:tcW w:w="892" w:type="dxa"/>
            <w:tcBorders>
              <w:top w:val="none" w:sz="8" w:space="0" w:color="auto"/>
              <w:left w:val="nil"/>
              <w:bottom w:val="nil"/>
              <w:right w:val="none" w:sz="8" w:space="0" w:color="auto"/>
            </w:tcBorders>
            <w:tcMar>
              <w:top w:w="56" w:type="dxa"/>
              <w:left w:w="0" w:type="dxa"/>
              <w:bottom w:w="85" w:type="dxa"/>
              <w:right w:w="0" w:type="dxa"/>
            </w:tcMar>
            <w:vAlign w:val="bottom"/>
          </w:tcPr>
          <w:p w14:paraId="77F51C3C" w14:textId="77777777" w:rsidR="0062640D" w:rsidRDefault="00C12A80">
            <w:pPr>
              <w:pStyle w:val="Accounts"/>
            </w:pPr>
            <w:r>
              <w:t>16,036</w:t>
            </w:r>
          </w:p>
        </w:tc>
        <w:tc>
          <w:tcPr>
            <w:tcW w:w="892"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11491A31" w14:textId="77777777" w:rsidR="0062640D" w:rsidRDefault="00C12A80">
            <w:pPr>
              <w:pStyle w:val="Accounts"/>
            </w:pPr>
            <w:r>
              <w:t>11,225</w:t>
            </w:r>
          </w:p>
        </w:tc>
        <w:tc>
          <w:tcPr>
            <w:tcW w:w="892"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3C7E8EF6" w14:textId="77777777" w:rsidR="0062640D" w:rsidRDefault="00C12A80">
            <w:pPr>
              <w:pStyle w:val="Accounts"/>
            </w:pPr>
            <w:r>
              <w:t>3,402</w:t>
            </w:r>
          </w:p>
        </w:tc>
        <w:tc>
          <w:tcPr>
            <w:tcW w:w="892"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5E3F3FF1" w14:textId="77777777" w:rsidR="0062640D" w:rsidRDefault="00C12A80">
            <w:pPr>
              <w:pStyle w:val="Accounts"/>
            </w:pPr>
            <w:r>
              <w:t>30,663</w:t>
            </w:r>
          </w:p>
        </w:tc>
      </w:tr>
      <w:tr w:rsidR="0062640D" w14:paraId="05FA0754" w14:textId="77777777">
        <w:tc>
          <w:tcPr>
            <w:tcW w:w="2881" w:type="dxa"/>
            <w:tcBorders>
              <w:top w:val="nil"/>
              <w:left w:val="nil"/>
              <w:bottom w:val="single" w:sz="2" w:space="0" w:color="FF777C"/>
              <w:right w:val="nil"/>
            </w:tcBorders>
            <w:tcMar>
              <w:top w:w="56" w:type="dxa"/>
              <w:left w:w="0" w:type="dxa"/>
              <w:bottom w:w="85" w:type="dxa"/>
              <w:right w:w="0" w:type="dxa"/>
            </w:tcMar>
            <w:vAlign w:val="bottom"/>
          </w:tcPr>
          <w:p w14:paraId="766415D6" w14:textId="77777777" w:rsidR="0062640D" w:rsidRDefault="00C12A80">
            <w:r>
              <w:t>Interest on lease liabilities</w:t>
            </w:r>
          </w:p>
        </w:tc>
        <w:tc>
          <w:tcPr>
            <w:tcW w:w="892" w:type="dxa"/>
            <w:tcBorders>
              <w:top w:val="nil"/>
              <w:left w:val="nil"/>
              <w:bottom w:val="single" w:sz="2" w:space="0" w:color="FF777C"/>
              <w:right w:val="nil"/>
            </w:tcBorders>
            <w:tcMar>
              <w:top w:w="56" w:type="dxa"/>
              <w:left w:w="0" w:type="dxa"/>
              <w:bottom w:w="85" w:type="dxa"/>
              <w:right w:w="0" w:type="dxa"/>
            </w:tcMar>
            <w:vAlign w:val="bottom"/>
          </w:tcPr>
          <w:p w14:paraId="78A6B1BE" w14:textId="77777777" w:rsidR="0062640D" w:rsidRDefault="00C12A80">
            <w:pPr>
              <w:pStyle w:val="AccountsBold"/>
            </w:pPr>
            <w:r>
              <w:t>17,651</w:t>
            </w:r>
          </w:p>
        </w:tc>
        <w:tc>
          <w:tcPr>
            <w:tcW w:w="892" w:type="dxa"/>
            <w:tcBorders>
              <w:top w:val="nil"/>
              <w:left w:val="nil"/>
              <w:bottom w:val="single" w:sz="2" w:space="0" w:color="FF777C"/>
              <w:right w:val="nil"/>
            </w:tcBorders>
            <w:tcMar>
              <w:top w:w="56" w:type="dxa"/>
              <w:left w:w="0" w:type="dxa"/>
              <w:bottom w:w="85" w:type="dxa"/>
              <w:right w:w="0" w:type="dxa"/>
            </w:tcMar>
            <w:vAlign w:val="bottom"/>
          </w:tcPr>
          <w:p w14:paraId="2DFDC1BB" w14:textId="77777777" w:rsidR="0062640D" w:rsidRDefault="00C12A80">
            <w:pPr>
              <w:pStyle w:val="AccountsBold"/>
            </w:pPr>
            <w:r>
              <w:t>25,356</w:t>
            </w:r>
          </w:p>
        </w:tc>
        <w:tc>
          <w:tcPr>
            <w:tcW w:w="892" w:type="dxa"/>
            <w:tcBorders>
              <w:top w:val="nil"/>
              <w:left w:val="nil"/>
              <w:bottom w:val="single" w:sz="2" w:space="0" w:color="FF777C"/>
              <w:right w:val="nil"/>
            </w:tcBorders>
            <w:tcMar>
              <w:top w:w="56" w:type="dxa"/>
              <w:left w:w="0" w:type="dxa"/>
              <w:bottom w:w="85" w:type="dxa"/>
              <w:right w:w="0" w:type="dxa"/>
            </w:tcMar>
            <w:vAlign w:val="bottom"/>
          </w:tcPr>
          <w:p w14:paraId="7AFDF893" w14:textId="77777777" w:rsidR="0062640D" w:rsidRDefault="00C12A80">
            <w:pPr>
              <w:pStyle w:val="AccountsBold"/>
            </w:pPr>
            <w:r>
              <w:t>6,480</w:t>
            </w:r>
          </w:p>
        </w:tc>
        <w:tc>
          <w:tcPr>
            <w:tcW w:w="892" w:type="dxa"/>
            <w:tcBorders>
              <w:top w:val="nil"/>
              <w:left w:val="nil"/>
              <w:bottom w:val="single" w:sz="2" w:space="0" w:color="FF777C"/>
              <w:right w:val="nil"/>
            </w:tcBorders>
            <w:tcMar>
              <w:top w:w="56" w:type="dxa"/>
              <w:left w:w="0" w:type="dxa"/>
              <w:bottom w:w="85" w:type="dxa"/>
              <w:right w:w="0" w:type="dxa"/>
            </w:tcMar>
            <w:vAlign w:val="bottom"/>
          </w:tcPr>
          <w:p w14:paraId="7C3610D7" w14:textId="77777777" w:rsidR="0062640D" w:rsidRDefault="00C12A80">
            <w:pPr>
              <w:pStyle w:val="AccountsBold"/>
            </w:pPr>
            <w:r>
              <w:t>49,487</w:t>
            </w:r>
          </w:p>
        </w:tc>
        <w:tc>
          <w:tcPr>
            <w:tcW w:w="60" w:type="dxa"/>
            <w:tcBorders>
              <w:top w:val="none" w:sz="8" w:space="0" w:color="auto"/>
              <w:left w:val="nil"/>
              <w:bottom w:val="none" w:sz="8" w:space="0" w:color="auto"/>
              <w:right w:val="nil"/>
            </w:tcBorders>
            <w:tcMar>
              <w:top w:w="56" w:type="dxa"/>
              <w:left w:w="0" w:type="dxa"/>
              <w:bottom w:w="85" w:type="dxa"/>
              <w:right w:w="0" w:type="dxa"/>
            </w:tcMar>
            <w:vAlign w:val="bottom"/>
          </w:tcPr>
          <w:p w14:paraId="41310875" w14:textId="77777777" w:rsidR="0062640D" w:rsidRDefault="0062640D"/>
        </w:tc>
        <w:tc>
          <w:tcPr>
            <w:tcW w:w="892" w:type="dxa"/>
            <w:tcBorders>
              <w:top w:val="nil"/>
              <w:left w:val="nil"/>
              <w:bottom w:val="single" w:sz="2" w:space="0" w:color="FF777C"/>
              <w:right w:val="nil"/>
            </w:tcBorders>
            <w:tcMar>
              <w:top w:w="56" w:type="dxa"/>
              <w:left w:w="0" w:type="dxa"/>
              <w:bottom w:w="85" w:type="dxa"/>
              <w:right w:w="0" w:type="dxa"/>
            </w:tcMar>
            <w:vAlign w:val="bottom"/>
          </w:tcPr>
          <w:p w14:paraId="111E5031" w14:textId="77777777" w:rsidR="0062640D" w:rsidRDefault="00C12A80">
            <w:pPr>
              <w:pStyle w:val="Accounts"/>
            </w:pPr>
            <w:r>
              <w:t>17,797</w:t>
            </w:r>
          </w:p>
        </w:tc>
        <w:tc>
          <w:tcPr>
            <w:tcW w:w="892" w:type="dxa"/>
            <w:tcBorders>
              <w:top w:val="nil"/>
              <w:left w:val="nil"/>
              <w:bottom w:val="single" w:sz="2" w:space="0" w:color="FF777C"/>
              <w:right w:val="nil"/>
            </w:tcBorders>
            <w:tcMar>
              <w:top w:w="56" w:type="dxa"/>
              <w:left w:w="0" w:type="dxa"/>
              <w:bottom w:w="85" w:type="dxa"/>
              <w:right w:w="0" w:type="dxa"/>
            </w:tcMar>
            <w:vAlign w:val="bottom"/>
          </w:tcPr>
          <w:p w14:paraId="52F7198D" w14:textId="77777777" w:rsidR="0062640D" w:rsidRDefault="00C12A80">
            <w:pPr>
              <w:pStyle w:val="Accounts"/>
            </w:pPr>
            <w:r>
              <w:t>21,048</w:t>
            </w:r>
          </w:p>
        </w:tc>
        <w:tc>
          <w:tcPr>
            <w:tcW w:w="892" w:type="dxa"/>
            <w:tcBorders>
              <w:top w:val="nil"/>
              <w:left w:val="nil"/>
              <w:bottom w:val="single" w:sz="2" w:space="0" w:color="FF777C"/>
              <w:right w:val="nil"/>
            </w:tcBorders>
            <w:tcMar>
              <w:top w:w="56" w:type="dxa"/>
              <w:left w:w="0" w:type="dxa"/>
              <w:bottom w:w="85" w:type="dxa"/>
              <w:right w:w="0" w:type="dxa"/>
            </w:tcMar>
            <w:vAlign w:val="bottom"/>
          </w:tcPr>
          <w:p w14:paraId="6C9C2770" w14:textId="77777777" w:rsidR="0062640D" w:rsidRDefault="00C12A80">
            <w:pPr>
              <w:pStyle w:val="Accounts"/>
            </w:pPr>
            <w:r>
              <w:t>3,906</w:t>
            </w:r>
          </w:p>
        </w:tc>
        <w:tc>
          <w:tcPr>
            <w:tcW w:w="892" w:type="dxa"/>
            <w:tcBorders>
              <w:top w:val="nil"/>
              <w:left w:val="nil"/>
              <w:bottom w:val="single" w:sz="2" w:space="0" w:color="FF777C"/>
              <w:right w:val="nil"/>
            </w:tcBorders>
            <w:tcMar>
              <w:top w:w="56" w:type="dxa"/>
              <w:left w:w="0" w:type="dxa"/>
              <w:bottom w:w="85" w:type="dxa"/>
              <w:right w:w="0" w:type="dxa"/>
            </w:tcMar>
            <w:vAlign w:val="bottom"/>
          </w:tcPr>
          <w:p w14:paraId="3DA1DF23" w14:textId="77777777" w:rsidR="0062640D" w:rsidRDefault="00C12A80">
            <w:pPr>
              <w:pStyle w:val="Accounts"/>
            </w:pPr>
            <w:r>
              <w:t>42,751</w:t>
            </w:r>
          </w:p>
        </w:tc>
      </w:tr>
    </w:tbl>
    <w:p w14:paraId="63F7CB2D" w14:textId="77777777" w:rsidR="0062640D" w:rsidRDefault="0062640D"/>
    <w:p w14:paraId="343A56E3" w14:textId="77777777" w:rsidR="0062640D" w:rsidRDefault="00C12A80">
      <w:pPr>
        <w:pStyle w:val="Heading-2"/>
      </w:pPr>
      <w:r>
        <w:t>Assets and liabilities</w:t>
      </w:r>
    </w:p>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2892"/>
        <w:gridCol w:w="892"/>
        <w:gridCol w:w="892"/>
        <w:gridCol w:w="892"/>
        <w:gridCol w:w="892"/>
        <w:gridCol w:w="60"/>
        <w:gridCol w:w="892"/>
        <w:gridCol w:w="892"/>
        <w:gridCol w:w="892"/>
        <w:gridCol w:w="892"/>
      </w:tblGrid>
      <w:tr w:rsidR="0062640D" w14:paraId="606CE0E4" w14:textId="77777777">
        <w:tc>
          <w:tcPr>
            <w:tcW w:w="2892" w:type="dxa"/>
            <w:tcBorders>
              <w:top w:val="nil"/>
              <w:left w:val="nil"/>
              <w:bottom w:val="nil"/>
              <w:right w:val="nil"/>
            </w:tcBorders>
            <w:tcMar>
              <w:top w:w="45" w:type="dxa"/>
              <w:left w:w="0" w:type="dxa"/>
              <w:bottom w:w="0" w:type="dxa"/>
              <w:right w:w="0" w:type="dxa"/>
            </w:tcMar>
            <w:vAlign w:val="bottom"/>
          </w:tcPr>
          <w:p w14:paraId="3D241EA1" w14:textId="77777777" w:rsidR="0062640D" w:rsidRDefault="0062640D"/>
        </w:tc>
        <w:tc>
          <w:tcPr>
            <w:tcW w:w="3568" w:type="dxa"/>
            <w:gridSpan w:val="4"/>
            <w:tcBorders>
              <w:top w:val="nil"/>
              <w:left w:val="nil"/>
              <w:bottom w:val="nil"/>
              <w:right w:val="nil"/>
            </w:tcBorders>
            <w:tcMar>
              <w:top w:w="45" w:type="dxa"/>
              <w:left w:w="0" w:type="dxa"/>
              <w:bottom w:w="0" w:type="dxa"/>
              <w:right w:w="0" w:type="dxa"/>
            </w:tcMar>
            <w:vAlign w:val="bottom"/>
          </w:tcPr>
          <w:p w14:paraId="2DB7CA00" w14:textId="77777777" w:rsidR="0062640D" w:rsidRDefault="00C12A80">
            <w:pPr>
              <w:pStyle w:val="Table-Headings"/>
              <w:jc w:val="center"/>
            </w:pPr>
            <w:r>
              <w:t>2024</w:t>
            </w:r>
          </w:p>
        </w:tc>
        <w:tc>
          <w:tcPr>
            <w:tcW w:w="60" w:type="dxa"/>
            <w:tcBorders>
              <w:top w:val="none" w:sz="8" w:space="0" w:color="auto"/>
              <w:left w:val="nil"/>
              <w:bottom w:val="none" w:sz="8" w:space="0" w:color="auto"/>
              <w:right w:val="nil"/>
            </w:tcBorders>
            <w:tcMar>
              <w:top w:w="45" w:type="dxa"/>
              <w:left w:w="0" w:type="dxa"/>
              <w:bottom w:w="0" w:type="dxa"/>
              <w:right w:w="0" w:type="dxa"/>
            </w:tcMar>
            <w:vAlign w:val="bottom"/>
          </w:tcPr>
          <w:p w14:paraId="7ECD2EB9" w14:textId="77777777" w:rsidR="0062640D" w:rsidRDefault="0062640D"/>
        </w:tc>
        <w:tc>
          <w:tcPr>
            <w:tcW w:w="3568" w:type="dxa"/>
            <w:gridSpan w:val="4"/>
            <w:tcBorders>
              <w:top w:val="nil"/>
              <w:left w:val="nil"/>
              <w:bottom w:val="nil"/>
              <w:right w:val="nil"/>
            </w:tcBorders>
            <w:tcMar>
              <w:top w:w="45" w:type="dxa"/>
              <w:left w:w="0" w:type="dxa"/>
              <w:bottom w:w="0" w:type="dxa"/>
              <w:right w:w="0" w:type="dxa"/>
            </w:tcMar>
            <w:vAlign w:val="bottom"/>
          </w:tcPr>
          <w:p w14:paraId="20866F69" w14:textId="77777777" w:rsidR="0062640D" w:rsidRDefault="00C12A80">
            <w:pPr>
              <w:pStyle w:val="Table-Headings"/>
              <w:jc w:val="center"/>
            </w:pPr>
            <w:r>
              <w:t>2023</w:t>
            </w:r>
          </w:p>
        </w:tc>
      </w:tr>
      <w:tr w:rsidR="0062640D" w14:paraId="2E2321F1" w14:textId="77777777">
        <w:tc>
          <w:tcPr>
            <w:tcW w:w="2892" w:type="dxa"/>
            <w:tcBorders>
              <w:top w:val="nil"/>
              <w:left w:val="nil"/>
              <w:bottom w:val="nil"/>
              <w:right w:val="nil"/>
            </w:tcBorders>
            <w:tcMar>
              <w:top w:w="45" w:type="dxa"/>
              <w:left w:w="0" w:type="dxa"/>
              <w:bottom w:w="0" w:type="dxa"/>
              <w:right w:w="0" w:type="dxa"/>
            </w:tcMar>
            <w:vAlign w:val="bottom"/>
          </w:tcPr>
          <w:p w14:paraId="4BFC6B2F" w14:textId="77777777" w:rsidR="0062640D" w:rsidRDefault="0062640D"/>
        </w:tc>
        <w:tc>
          <w:tcPr>
            <w:tcW w:w="892" w:type="dxa"/>
            <w:tcBorders>
              <w:top w:val="nil"/>
              <w:left w:val="nil"/>
              <w:bottom w:val="nil"/>
              <w:right w:val="nil"/>
            </w:tcBorders>
            <w:tcMar>
              <w:top w:w="45" w:type="dxa"/>
              <w:left w:w="0" w:type="dxa"/>
              <w:bottom w:w="0" w:type="dxa"/>
              <w:right w:w="0" w:type="dxa"/>
            </w:tcMar>
            <w:vAlign w:val="bottom"/>
          </w:tcPr>
          <w:p w14:paraId="2DA8DA8B" w14:textId="77777777" w:rsidR="0062640D" w:rsidRDefault="00C12A80">
            <w:pPr>
              <w:pStyle w:val="Table-Headings"/>
            </w:pPr>
            <w:r>
              <w:t>Republic of Ireland</w:t>
            </w:r>
          </w:p>
        </w:tc>
        <w:tc>
          <w:tcPr>
            <w:tcW w:w="892" w:type="dxa"/>
            <w:tcBorders>
              <w:top w:val="nil"/>
              <w:left w:val="nil"/>
              <w:bottom w:val="nil"/>
              <w:right w:val="nil"/>
            </w:tcBorders>
            <w:tcMar>
              <w:top w:w="45" w:type="dxa"/>
              <w:left w:w="0" w:type="dxa"/>
              <w:bottom w:w="0" w:type="dxa"/>
              <w:right w:w="0" w:type="dxa"/>
            </w:tcMar>
            <w:vAlign w:val="bottom"/>
          </w:tcPr>
          <w:p w14:paraId="41D4D2A0" w14:textId="77777777" w:rsidR="0062640D" w:rsidRDefault="00C12A80">
            <w:pPr>
              <w:pStyle w:val="Table-Headings"/>
            </w:pPr>
            <w:r>
              <w:t>UK</w:t>
            </w:r>
          </w:p>
        </w:tc>
        <w:tc>
          <w:tcPr>
            <w:tcW w:w="892" w:type="dxa"/>
            <w:tcBorders>
              <w:top w:val="nil"/>
              <w:left w:val="nil"/>
              <w:bottom w:val="nil"/>
              <w:right w:val="nil"/>
            </w:tcBorders>
            <w:tcMar>
              <w:top w:w="45" w:type="dxa"/>
              <w:left w:w="0" w:type="dxa"/>
              <w:bottom w:w="0" w:type="dxa"/>
              <w:right w:w="0" w:type="dxa"/>
            </w:tcMar>
            <w:vAlign w:val="bottom"/>
          </w:tcPr>
          <w:p w14:paraId="1CA10C95" w14:textId="77777777" w:rsidR="0062640D" w:rsidRDefault="00C12A80">
            <w:pPr>
              <w:pStyle w:val="Table-Headings"/>
            </w:pPr>
            <w:r>
              <w:t>Continental Europe</w:t>
            </w:r>
          </w:p>
        </w:tc>
        <w:tc>
          <w:tcPr>
            <w:tcW w:w="892" w:type="dxa"/>
            <w:tcBorders>
              <w:top w:val="nil"/>
              <w:left w:val="nil"/>
              <w:bottom w:val="nil"/>
              <w:right w:val="nil"/>
            </w:tcBorders>
            <w:tcMar>
              <w:top w:w="45" w:type="dxa"/>
              <w:left w:w="0" w:type="dxa"/>
              <w:bottom w:w="0" w:type="dxa"/>
              <w:right w:w="0" w:type="dxa"/>
            </w:tcMar>
            <w:vAlign w:val="bottom"/>
          </w:tcPr>
          <w:p w14:paraId="696C7C67" w14:textId="77777777" w:rsidR="0062640D" w:rsidRDefault="00C12A80">
            <w:pPr>
              <w:pStyle w:val="Table-Headings"/>
            </w:pPr>
            <w:r>
              <w:t>Total</w:t>
            </w:r>
          </w:p>
        </w:tc>
        <w:tc>
          <w:tcPr>
            <w:tcW w:w="60" w:type="dxa"/>
            <w:tcBorders>
              <w:top w:val="none" w:sz="8" w:space="0" w:color="auto"/>
              <w:left w:val="nil"/>
              <w:bottom w:val="none" w:sz="8" w:space="0" w:color="auto"/>
              <w:right w:val="nil"/>
            </w:tcBorders>
            <w:tcMar>
              <w:top w:w="45" w:type="dxa"/>
              <w:left w:w="0" w:type="dxa"/>
              <w:bottom w:w="0" w:type="dxa"/>
              <w:right w:w="0" w:type="dxa"/>
            </w:tcMar>
            <w:vAlign w:val="bottom"/>
          </w:tcPr>
          <w:p w14:paraId="01ED782D" w14:textId="77777777" w:rsidR="0062640D" w:rsidRDefault="0062640D"/>
        </w:tc>
        <w:tc>
          <w:tcPr>
            <w:tcW w:w="892" w:type="dxa"/>
            <w:tcBorders>
              <w:top w:val="nil"/>
              <w:left w:val="nil"/>
              <w:bottom w:val="nil"/>
              <w:right w:val="nil"/>
            </w:tcBorders>
            <w:tcMar>
              <w:top w:w="45" w:type="dxa"/>
              <w:left w:w="0" w:type="dxa"/>
              <w:bottom w:w="0" w:type="dxa"/>
              <w:right w:w="0" w:type="dxa"/>
            </w:tcMar>
            <w:vAlign w:val="bottom"/>
          </w:tcPr>
          <w:p w14:paraId="0E281A63" w14:textId="77777777" w:rsidR="0062640D" w:rsidRDefault="00C12A80">
            <w:pPr>
              <w:pStyle w:val="Table-Headings"/>
            </w:pPr>
            <w:r>
              <w:t>Republic of Ireland</w:t>
            </w:r>
          </w:p>
        </w:tc>
        <w:tc>
          <w:tcPr>
            <w:tcW w:w="892" w:type="dxa"/>
            <w:tcBorders>
              <w:top w:val="nil"/>
              <w:left w:val="nil"/>
              <w:bottom w:val="nil"/>
              <w:right w:val="nil"/>
            </w:tcBorders>
            <w:tcMar>
              <w:top w:w="45" w:type="dxa"/>
              <w:left w:w="0" w:type="dxa"/>
              <w:bottom w:w="0" w:type="dxa"/>
              <w:right w:w="0" w:type="dxa"/>
            </w:tcMar>
            <w:vAlign w:val="bottom"/>
          </w:tcPr>
          <w:p w14:paraId="3388F8BF" w14:textId="77777777" w:rsidR="0062640D" w:rsidRDefault="00C12A80">
            <w:pPr>
              <w:pStyle w:val="Table-Headings"/>
            </w:pPr>
            <w:r>
              <w:t>UK</w:t>
            </w:r>
          </w:p>
        </w:tc>
        <w:tc>
          <w:tcPr>
            <w:tcW w:w="892" w:type="dxa"/>
            <w:tcBorders>
              <w:top w:val="nil"/>
              <w:left w:val="nil"/>
              <w:bottom w:val="nil"/>
              <w:right w:val="nil"/>
            </w:tcBorders>
            <w:tcMar>
              <w:top w:w="45" w:type="dxa"/>
              <w:left w:w="0" w:type="dxa"/>
              <w:bottom w:w="0" w:type="dxa"/>
              <w:right w:w="0" w:type="dxa"/>
            </w:tcMar>
            <w:vAlign w:val="bottom"/>
          </w:tcPr>
          <w:p w14:paraId="28BB8B62" w14:textId="77777777" w:rsidR="0062640D" w:rsidRDefault="00C12A80">
            <w:pPr>
              <w:pStyle w:val="Table-Headings"/>
            </w:pPr>
            <w:r>
              <w:t>Continental Europe</w:t>
            </w:r>
          </w:p>
        </w:tc>
        <w:tc>
          <w:tcPr>
            <w:tcW w:w="892" w:type="dxa"/>
            <w:tcBorders>
              <w:top w:val="nil"/>
              <w:left w:val="nil"/>
              <w:bottom w:val="nil"/>
              <w:right w:val="nil"/>
            </w:tcBorders>
            <w:tcMar>
              <w:top w:w="45" w:type="dxa"/>
              <w:left w:w="0" w:type="dxa"/>
              <w:bottom w:w="0" w:type="dxa"/>
              <w:right w:w="0" w:type="dxa"/>
            </w:tcMar>
            <w:vAlign w:val="bottom"/>
          </w:tcPr>
          <w:p w14:paraId="3DDEF9D4" w14:textId="77777777" w:rsidR="0062640D" w:rsidRDefault="00C12A80">
            <w:pPr>
              <w:pStyle w:val="Table-Headings"/>
            </w:pPr>
            <w:r>
              <w:t>Total</w:t>
            </w:r>
          </w:p>
        </w:tc>
      </w:tr>
      <w:tr w:rsidR="0062640D" w14:paraId="540D280E" w14:textId="77777777">
        <w:tc>
          <w:tcPr>
            <w:tcW w:w="2892" w:type="dxa"/>
            <w:tcBorders>
              <w:top w:val="nil"/>
              <w:left w:val="nil"/>
              <w:bottom w:val="single" w:sz="6" w:space="0" w:color="FF777C"/>
              <w:right w:val="nil"/>
            </w:tcBorders>
            <w:tcMar>
              <w:top w:w="45" w:type="dxa"/>
              <w:left w:w="0" w:type="dxa"/>
              <w:bottom w:w="56" w:type="dxa"/>
              <w:right w:w="0" w:type="dxa"/>
            </w:tcMar>
            <w:vAlign w:val="bottom"/>
          </w:tcPr>
          <w:p w14:paraId="14D9F1EC" w14:textId="77777777" w:rsidR="0062640D" w:rsidRDefault="0062640D"/>
        </w:tc>
        <w:tc>
          <w:tcPr>
            <w:tcW w:w="892" w:type="dxa"/>
            <w:tcBorders>
              <w:top w:val="nil"/>
              <w:left w:val="nil"/>
              <w:bottom w:val="single" w:sz="6" w:space="0" w:color="FF777C"/>
              <w:right w:val="nil"/>
            </w:tcBorders>
            <w:tcMar>
              <w:top w:w="45" w:type="dxa"/>
              <w:left w:w="0" w:type="dxa"/>
              <w:bottom w:w="56" w:type="dxa"/>
              <w:right w:w="0" w:type="dxa"/>
            </w:tcMar>
            <w:vAlign w:val="bottom"/>
          </w:tcPr>
          <w:p w14:paraId="08229645" w14:textId="77777777" w:rsidR="0062640D" w:rsidRDefault="00C12A80">
            <w:pPr>
              <w:pStyle w:val="Table-Headings"/>
            </w:pPr>
            <w:r>
              <w:t>€’000</w:t>
            </w:r>
          </w:p>
        </w:tc>
        <w:tc>
          <w:tcPr>
            <w:tcW w:w="892" w:type="dxa"/>
            <w:tcBorders>
              <w:top w:val="nil"/>
              <w:left w:val="nil"/>
              <w:bottom w:val="single" w:sz="6" w:space="0" w:color="FF777C"/>
              <w:right w:val="nil"/>
            </w:tcBorders>
            <w:tcMar>
              <w:top w:w="45" w:type="dxa"/>
              <w:left w:w="0" w:type="dxa"/>
              <w:bottom w:w="56" w:type="dxa"/>
              <w:right w:w="0" w:type="dxa"/>
            </w:tcMar>
            <w:vAlign w:val="bottom"/>
          </w:tcPr>
          <w:p w14:paraId="31EB9D00" w14:textId="77777777" w:rsidR="0062640D" w:rsidRDefault="00C12A80">
            <w:pPr>
              <w:pStyle w:val="Table-Headings"/>
            </w:pPr>
            <w:r>
              <w:t>€’000</w:t>
            </w:r>
          </w:p>
        </w:tc>
        <w:tc>
          <w:tcPr>
            <w:tcW w:w="892" w:type="dxa"/>
            <w:tcBorders>
              <w:top w:val="nil"/>
              <w:left w:val="nil"/>
              <w:bottom w:val="single" w:sz="6" w:space="0" w:color="FF777C"/>
              <w:right w:val="nil"/>
            </w:tcBorders>
            <w:tcMar>
              <w:top w:w="45" w:type="dxa"/>
              <w:left w:w="0" w:type="dxa"/>
              <w:bottom w:w="56" w:type="dxa"/>
              <w:right w:w="0" w:type="dxa"/>
            </w:tcMar>
            <w:vAlign w:val="bottom"/>
          </w:tcPr>
          <w:p w14:paraId="36F2CADD" w14:textId="77777777" w:rsidR="0062640D" w:rsidRDefault="00C12A80">
            <w:pPr>
              <w:pStyle w:val="Table-Headings"/>
            </w:pPr>
            <w:r>
              <w:t>€’000</w:t>
            </w:r>
          </w:p>
        </w:tc>
        <w:tc>
          <w:tcPr>
            <w:tcW w:w="892" w:type="dxa"/>
            <w:tcBorders>
              <w:top w:val="nil"/>
              <w:left w:val="nil"/>
              <w:bottom w:val="single" w:sz="6" w:space="0" w:color="FF777C"/>
              <w:right w:val="nil"/>
            </w:tcBorders>
            <w:tcMar>
              <w:top w:w="45" w:type="dxa"/>
              <w:left w:w="0" w:type="dxa"/>
              <w:bottom w:w="56" w:type="dxa"/>
              <w:right w:w="0" w:type="dxa"/>
            </w:tcMar>
            <w:vAlign w:val="bottom"/>
          </w:tcPr>
          <w:p w14:paraId="1B5D4D2A" w14:textId="77777777" w:rsidR="0062640D" w:rsidRDefault="00C12A80">
            <w:pPr>
              <w:pStyle w:val="Table-Headings"/>
            </w:pPr>
            <w:r>
              <w:t>€’000</w:t>
            </w:r>
          </w:p>
        </w:tc>
        <w:tc>
          <w:tcPr>
            <w:tcW w:w="60" w:type="dxa"/>
            <w:tcBorders>
              <w:top w:val="none" w:sz="8" w:space="0" w:color="auto"/>
              <w:left w:val="nil"/>
              <w:bottom w:val="none" w:sz="8" w:space="0" w:color="auto"/>
              <w:right w:val="nil"/>
            </w:tcBorders>
            <w:tcMar>
              <w:top w:w="45" w:type="dxa"/>
              <w:left w:w="0" w:type="dxa"/>
              <w:bottom w:w="56" w:type="dxa"/>
              <w:right w:w="0" w:type="dxa"/>
            </w:tcMar>
            <w:vAlign w:val="bottom"/>
          </w:tcPr>
          <w:p w14:paraId="656605AB" w14:textId="77777777" w:rsidR="0062640D" w:rsidRDefault="0062640D"/>
        </w:tc>
        <w:tc>
          <w:tcPr>
            <w:tcW w:w="892" w:type="dxa"/>
            <w:tcBorders>
              <w:top w:val="nil"/>
              <w:left w:val="nil"/>
              <w:bottom w:val="single" w:sz="6" w:space="0" w:color="FF777C"/>
              <w:right w:val="nil"/>
            </w:tcBorders>
            <w:tcMar>
              <w:top w:w="45" w:type="dxa"/>
              <w:left w:w="0" w:type="dxa"/>
              <w:bottom w:w="56" w:type="dxa"/>
              <w:right w:w="0" w:type="dxa"/>
            </w:tcMar>
            <w:vAlign w:val="bottom"/>
          </w:tcPr>
          <w:p w14:paraId="5B36CB25" w14:textId="60739C57" w:rsidR="0062640D" w:rsidRDefault="00C12A80" w:rsidP="00565E9B">
            <w:pPr>
              <w:pStyle w:val="Table-Headings"/>
            </w:pPr>
            <w:r>
              <w:t>€’000</w:t>
            </w:r>
          </w:p>
        </w:tc>
        <w:tc>
          <w:tcPr>
            <w:tcW w:w="892" w:type="dxa"/>
            <w:tcBorders>
              <w:top w:val="nil"/>
              <w:left w:val="nil"/>
              <w:bottom w:val="single" w:sz="6" w:space="0" w:color="FF777C"/>
              <w:right w:val="nil"/>
            </w:tcBorders>
            <w:tcMar>
              <w:top w:w="45" w:type="dxa"/>
              <w:left w:w="0" w:type="dxa"/>
              <w:bottom w:w="56" w:type="dxa"/>
              <w:right w:w="0" w:type="dxa"/>
            </w:tcMar>
            <w:vAlign w:val="bottom"/>
          </w:tcPr>
          <w:p w14:paraId="601C37FC" w14:textId="77777777" w:rsidR="0062640D" w:rsidRDefault="00C12A80">
            <w:pPr>
              <w:pStyle w:val="Table-Headings"/>
            </w:pPr>
            <w:r>
              <w:t>€’000</w:t>
            </w:r>
          </w:p>
        </w:tc>
        <w:tc>
          <w:tcPr>
            <w:tcW w:w="892" w:type="dxa"/>
            <w:tcBorders>
              <w:top w:val="nil"/>
              <w:left w:val="nil"/>
              <w:bottom w:val="single" w:sz="6" w:space="0" w:color="FF777C"/>
              <w:right w:val="nil"/>
            </w:tcBorders>
            <w:tcMar>
              <w:top w:w="45" w:type="dxa"/>
              <w:left w:w="0" w:type="dxa"/>
              <w:bottom w:w="56" w:type="dxa"/>
              <w:right w:w="0" w:type="dxa"/>
            </w:tcMar>
            <w:vAlign w:val="bottom"/>
          </w:tcPr>
          <w:p w14:paraId="56C4FAA6" w14:textId="624BE917" w:rsidR="0062640D" w:rsidRDefault="00C12A80" w:rsidP="00565E9B">
            <w:pPr>
              <w:pStyle w:val="Table-Headings"/>
            </w:pPr>
            <w:r>
              <w:t>€’000</w:t>
            </w:r>
          </w:p>
        </w:tc>
        <w:tc>
          <w:tcPr>
            <w:tcW w:w="892" w:type="dxa"/>
            <w:tcBorders>
              <w:top w:val="nil"/>
              <w:left w:val="nil"/>
              <w:bottom w:val="single" w:sz="6" w:space="0" w:color="FF777C"/>
              <w:right w:val="nil"/>
            </w:tcBorders>
            <w:tcMar>
              <w:top w:w="45" w:type="dxa"/>
              <w:left w:w="0" w:type="dxa"/>
              <w:bottom w:w="56" w:type="dxa"/>
              <w:right w:w="0" w:type="dxa"/>
            </w:tcMar>
            <w:vAlign w:val="bottom"/>
          </w:tcPr>
          <w:p w14:paraId="26242787" w14:textId="6EB2711F" w:rsidR="0062640D" w:rsidRDefault="00C12A80" w:rsidP="00565E9B">
            <w:pPr>
              <w:pStyle w:val="Table-Headings"/>
            </w:pPr>
            <w:r>
              <w:t>€’000</w:t>
            </w:r>
          </w:p>
        </w:tc>
      </w:tr>
      <w:tr w:rsidR="0062640D" w14:paraId="2C893530" w14:textId="77777777">
        <w:tc>
          <w:tcPr>
            <w:tcW w:w="2892" w:type="dxa"/>
            <w:tcBorders>
              <w:top w:val="single" w:sz="6" w:space="0" w:color="FF777C"/>
              <w:left w:val="nil"/>
              <w:bottom w:val="nil"/>
              <w:right w:val="nil"/>
            </w:tcBorders>
            <w:tcMar>
              <w:top w:w="45" w:type="dxa"/>
              <w:left w:w="0" w:type="dxa"/>
              <w:bottom w:w="56" w:type="dxa"/>
              <w:right w:w="0" w:type="dxa"/>
            </w:tcMar>
            <w:vAlign w:val="bottom"/>
          </w:tcPr>
          <w:p w14:paraId="17C67BE7" w14:textId="77777777" w:rsidR="0062640D" w:rsidRDefault="00C12A80">
            <w:pPr>
              <w:pStyle w:val="Heading-2"/>
            </w:pPr>
            <w:r>
              <w:t>Assets</w:t>
            </w:r>
          </w:p>
        </w:tc>
        <w:tc>
          <w:tcPr>
            <w:tcW w:w="892" w:type="dxa"/>
            <w:tcBorders>
              <w:top w:val="single" w:sz="6" w:space="0" w:color="FF777C"/>
              <w:left w:val="nil"/>
              <w:bottom w:val="nil"/>
              <w:right w:val="nil"/>
            </w:tcBorders>
            <w:tcMar>
              <w:top w:w="45" w:type="dxa"/>
              <w:left w:w="0" w:type="dxa"/>
              <w:bottom w:w="56" w:type="dxa"/>
              <w:right w:w="0" w:type="dxa"/>
            </w:tcMar>
            <w:vAlign w:val="bottom"/>
          </w:tcPr>
          <w:p w14:paraId="348C0617" w14:textId="77777777" w:rsidR="0062640D" w:rsidRDefault="0062640D"/>
        </w:tc>
        <w:tc>
          <w:tcPr>
            <w:tcW w:w="892" w:type="dxa"/>
            <w:tcBorders>
              <w:top w:val="single" w:sz="6" w:space="0" w:color="FF777C"/>
              <w:left w:val="nil"/>
              <w:bottom w:val="nil"/>
              <w:right w:val="nil"/>
            </w:tcBorders>
            <w:tcMar>
              <w:top w:w="45" w:type="dxa"/>
              <w:left w:w="0" w:type="dxa"/>
              <w:bottom w:w="56" w:type="dxa"/>
              <w:right w:w="0" w:type="dxa"/>
            </w:tcMar>
            <w:vAlign w:val="bottom"/>
          </w:tcPr>
          <w:p w14:paraId="7AD26A88" w14:textId="77777777" w:rsidR="0062640D" w:rsidRDefault="0062640D"/>
        </w:tc>
        <w:tc>
          <w:tcPr>
            <w:tcW w:w="892" w:type="dxa"/>
            <w:tcBorders>
              <w:top w:val="single" w:sz="6" w:space="0" w:color="FF777C"/>
              <w:left w:val="nil"/>
              <w:bottom w:val="nil"/>
              <w:right w:val="nil"/>
            </w:tcBorders>
            <w:tcMar>
              <w:top w:w="45" w:type="dxa"/>
              <w:left w:w="0" w:type="dxa"/>
              <w:bottom w:w="56" w:type="dxa"/>
              <w:right w:w="0" w:type="dxa"/>
            </w:tcMar>
            <w:vAlign w:val="bottom"/>
          </w:tcPr>
          <w:p w14:paraId="754DDCDD" w14:textId="77777777" w:rsidR="0062640D" w:rsidRDefault="0062640D"/>
        </w:tc>
        <w:tc>
          <w:tcPr>
            <w:tcW w:w="892" w:type="dxa"/>
            <w:tcBorders>
              <w:top w:val="single" w:sz="6" w:space="0" w:color="FF777C"/>
              <w:left w:val="nil"/>
              <w:bottom w:val="nil"/>
              <w:right w:val="nil"/>
            </w:tcBorders>
            <w:tcMar>
              <w:top w:w="45" w:type="dxa"/>
              <w:left w:w="0" w:type="dxa"/>
              <w:bottom w:w="56" w:type="dxa"/>
              <w:right w:w="0" w:type="dxa"/>
            </w:tcMar>
            <w:vAlign w:val="bottom"/>
          </w:tcPr>
          <w:p w14:paraId="471EF50F" w14:textId="77777777" w:rsidR="0062640D" w:rsidRDefault="0062640D"/>
        </w:tc>
        <w:tc>
          <w:tcPr>
            <w:tcW w:w="60" w:type="dxa"/>
            <w:tcBorders>
              <w:top w:val="none" w:sz="8" w:space="0" w:color="auto"/>
              <w:left w:val="nil"/>
              <w:bottom w:val="none" w:sz="8" w:space="0" w:color="auto"/>
              <w:right w:val="nil"/>
            </w:tcBorders>
            <w:tcMar>
              <w:top w:w="45" w:type="dxa"/>
              <w:left w:w="0" w:type="dxa"/>
              <w:bottom w:w="56" w:type="dxa"/>
              <w:right w:w="0" w:type="dxa"/>
            </w:tcMar>
            <w:vAlign w:val="bottom"/>
          </w:tcPr>
          <w:p w14:paraId="09AC1426" w14:textId="77777777" w:rsidR="0062640D" w:rsidRDefault="0062640D"/>
        </w:tc>
        <w:tc>
          <w:tcPr>
            <w:tcW w:w="892" w:type="dxa"/>
            <w:tcBorders>
              <w:top w:val="single" w:sz="6" w:space="0" w:color="FF777C"/>
              <w:left w:val="nil"/>
              <w:bottom w:val="nil"/>
              <w:right w:val="nil"/>
            </w:tcBorders>
            <w:tcMar>
              <w:top w:w="45" w:type="dxa"/>
              <w:left w:w="0" w:type="dxa"/>
              <w:bottom w:w="56" w:type="dxa"/>
              <w:right w:w="0" w:type="dxa"/>
            </w:tcMar>
            <w:vAlign w:val="bottom"/>
          </w:tcPr>
          <w:p w14:paraId="298DA529" w14:textId="77777777" w:rsidR="0062640D" w:rsidRDefault="0062640D"/>
        </w:tc>
        <w:tc>
          <w:tcPr>
            <w:tcW w:w="892" w:type="dxa"/>
            <w:tcBorders>
              <w:top w:val="single" w:sz="6" w:space="0" w:color="FF777C"/>
              <w:left w:val="nil"/>
              <w:bottom w:val="nil"/>
              <w:right w:val="nil"/>
            </w:tcBorders>
            <w:tcMar>
              <w:top w:w="45" w:type="dxa"/>
              <w:left w:w="0" w:type="dxa"/>
              <w:bottom w:w="56" w:type="dxa"/>
              <w:right w:w="0" w:type="dxa"/>
            </w:tcMar>
            <w:vAlign w:val="bottom"/>
          </w:tcPr>
          <w:p w14:paraId="3A05E7F1" w14:textId="77777777" w:rsidR="0062640D" w:rsidRDefault="0062640D"/>
        </w:tc>
        <w:tc>
          <w:tcPr>
            <w:tcW w:w="892" w:type="dxa"/>
            <w:tcBorders>
              <w:top w:val="single" w:sz="6" w:space="0" w:color="FF777C"/>
              <w:left w:val="nil"/>
              <w:bottom w:val="nil"/>
              <w:right w:val="nil"/>
            </w:tcBorders>
            <w:tcMar>
              <w:top w:w="45" w:type="dxa"/>
              <w:left w:w="0" w:type="dxa"/>
              <w:bottom w:w="56" w:type="dxa"/>
              <w:right w:w="0" w:type="dxa"/>
            </w:tcMar>
            <w:vAlign w:val="bottom"/>
          </w:tcPr>
          <w:p w14:paraId="0F9FDE6C" w14:textId="77777777" w:rsidR="0062640D" w:rsidRDefault="0062640D"/>
        </w:tc>
        <w:tc>
          <w:tcPr>
            <w:tcW w:w="892" w:type="dxa"/>
            <w:tcBorders>
              <w:top w:val="single" w:sz="6" w:space="0" w:color="FF777C"/>
              <w:left w:val="nil"/>
              <w:bottom w:val="nil"/>
              <w:right w:val="nil"/>
            </w:tcBorders>
            <w:tcMar>
              <w:top w:w="45" w:type="dxa"/>
              <w:left w:w="0" w:type="dxa"/>
              <w:bottom w:w="56" w:type="dxa"/>
              <w:right w:w="0" w:type="dxa"/>
            </w:tcMar>
            <w:vAlign w:val="bottom"/>
          </w:tcPr>
          <w:p w14:paraId="03248EDC" w14:textId="77777777" w:rsidR="0062640D" w:rsidRDefault="0062640D"/>
        </w:tc>
      </w:tr>
      <w:tr w:rsidR="0062640D" w14:paraId="75CD7216" w14:textId="77777777">
        <w:tc>
          <w:tcPr>
            <w:tcW w:w="2892" w:type="dxa"/>
            <w:tcBorders>
              <w:top w:val="nil"/>
              <w:left w:val="none" w:sz="8" w:space="0" w:color="auto"/>
              <w:bottom w:val="none" w:sz="8" w:space="0" w:color="auto"/>
              <w:right w:val="none" w:sz="8" w:space="0" w:color="auto"/>
            </w:tcBorders>
            <w:tcMar>
              <w:top w:w="45" w:type="dxa"/>
              <w:left w:w="0" w:type="dxa"/>
              <w:bottom w:w="56" w:type="dxa"/>
              <w:right w:w="0" w:type="dxa"/>
            </w:tcMar>
            <w:vAlign w:val="bottom"/>
          </w:tcPr>
          <w:p w14:paraId="26CA2CD0" w14:textId="77777777" w:rsidR="0062640D" w:rsidRDefault="00C12A80">
            <w:r>
              <w:t>Intangible assets and goodwill</w:t>
            </w:r>
          </w:p>
        </w:tc>
        <w:tc>
          <w:tcPr>
            <w:tcW w:w="892" w:type="dxa"/>
            <w:tcBorders>
              <w:top w:val="nil"/>
              <w:left w:val="none" w:sz="8" w:space="0" w:color="auto"/>
              <w:bottom w:val="none" w:sz="8" w:space="0" w:color="auto"/>
              <w:right w:val="none" w:sz="8" w:space="0" w:color="auto"/>
            </w:tcBorders>
            <w:tcMar>
              <w:top w:w="45" w:type="dxa"/>
              <w:left w:w="0" w:type="dxa"/>
              <w:bottom w:w="56" w:type="dxa"/>
              <w:right w:w="0" w:type="dxa"/>
            </w:tcMar>
            <w:vAlign w:val="bottom"/>
          </w:tcPr>
          <w:p w14:paraId="3525DEC9" w14:textId="77777777" w:rsidR="0062640D" w:rsidRDefault="00C12A80">
            <w:pPr>
              <w:pStyle w:val="AccountsBold"/>
            </w:pPr>
            <w:r>
              <w:t>17,848</w:t>
            </w:r>
          </w:p>
        </w:tc>
        <w:tc>
          <w:tcPr>
            <w:tcW w:w="892" w:type="dxa"/>
            <w:tcBorders>
              <w:top w:val="nil"/>
              <w:left w:val="none" w:sz="8" w:space="0" w:color="auto"/>
              <w:bottom w:val="none" w:sz="8" w:space="0" w:color="auto"/>
              <w:right w:val="none" w:sz="8" w:space="0" w:color="auto"/>
            </w:tcBorders>
            <w:tcMar>
              <w:top w:w="45" w:type="dxa"/>
              <w:left w:w="0" w:type="dxa"/>
              <w:bottom w:w="56" w:type="dxa"/>
              <w:right w:w="0" w:type="dxa"/>
            </w:tcMar>
            <w:vAlign w:val="bottom"/>
          </w:tcPr>
          <w:p w14:paraId="08E099D8" w14:textId="77777777" w:rsidR="0062640D" w:rsidRDefault="00C12A80">
            <w:pPr>
              <w:pStyle w:val="AccountsBold"/>
            </w:pPr>
            <w:r>
              <w:t>12,376</w:t>
            </w:r>
          </w:p>
        </w:tc>
        <w:tc>
          <w:tcPr>
            <w:tcW w:w="892" w:type="dxa"/>
            <w:tcBorders>
              <w:top w:val="nil"/>
              <w:left w:val="none" w:sz="8" w:space="0" w:color="auto"/>
              <w:bottom w:val="none" w:sz="8" w:space="0" w:color="auto"/>
              <w:right w:val="none" w:sz="8" w:space="0" w:color="auto"/>
            </w:tcBorders>
            <w:tcMar>
              <w:top w:w="45" w:type="dxa"/>
              <w:left w:w="0" w:type="dxa"/>
              <w:bottom w:w="56" w:type="dxa"/>
              <w:right w:w="0" w:type="dxa"/>
            </w:tcMar>
            <w:vAlign w:val="bottom"/>
          </w:tcPr>
          <w:p w14:paraId="2B7A9843" w14:textId="77777777" w:rsidR="0062640D" w:rsidRDefault="00C12A80">
            <w:pPr>
              <w:pStyle w:val="AccountsBold"/>
            </w:pPr>
            <w:r>
              <w:t>23,425</w:t>
            </w:r>
          </w:p>
        </w:tc>
        <w:tc>
          <w:tcPr>
            <w:tcW w:w="892" w:type="dxa"/>
            <w:tcBorders>
              <w:top w:val="nil"/>
              <w:left w:val="none" w:sz="8" w:space="0" w:color="auto"/>
              <w:bottom w:val="none" w:sz="8" w:space="0" w:color="auto"/>
              <w:right w:val="nil"/>
            </w:tcBorders>
            <w:tcMar>
              <w:top w:w="45" w:type="dxa"/>
              <w:left w:w="0" w:type="dxa"/>
              <w:bottom w:w="56" w:type="dxa"/>
              <w:right w:w="0" w:type="dxa"/>
            </w:tcMar>
            <w:vAlign w:val="bottom"/>
          </w:tcPr>
          <w:p w14:paraId="192FFCF0" w14:textId="77777777" w:rsidR="0062640D" w:rsidRDefault="00C12A80">
            <w:pPr>
              <w:pStyle w:val="AccountsBold"/>
            </w:pPr>
            <w:r>
              <w:t>53,649</w:t>
            </w:r>
          </w:p>
        </w:tc>
        <w:tc>
          <w:tcPr>
            <w:tcW w:w="60" w:type="dxa"/>
            <w:tcBorders>
              <w:top w:val="none" w:sz="8" w:space="0" w:color="auto"/>
              <w:left w:val="nil"/>
              <w:bottom w:val="none" w:sz="8" w:space="0" w:color="auto"/>
              <w:right w:val="nil"/>
            </w:tcBorders>
            <w:tcMar>
              <w:top w:w="45" w:type="dxa"/>
              <w:left w:w="0" w:type="dxa"/>
              <w:bottom w:w="56" w:type="dxa"/>
              <w:right w:w="0" w:type="dxa"/>
            </w:tcMar>
            <w:vAlign w:val="bottom"/>
          </w:tcPr>
          <w:p w14:paraId="6107384F" w14:textId="77777777" w:rsidR="0062640D" w:rsidRDefault="0062640D"/>
        </w:tc>
        <w:tc>
          <w:tcPr>
            <w:tcW w:w="892" w:type="dxa"/>
            <w:tcBorders>
              <w:top w:val="nil"/>
              <w:left w:val="nil"/>
              <w:bottom w:val="none" w:sz="8" w:space="0" w:color="auto"/>
              <w:right w:val="none" w:sz="8" w:space="0" w:color="auto"/>
            </w:tcBorders>
            <w:tcMar>
              <w:top w:w="45" w:type="dxa"/>
              <w:left w:w="0" w:type="dxa"/>
              <w:bottom w:w="56" w:type="dxa"/>
              <w:right w:w="0" w:type="dxa"/>
            </w:tcMar>
            <w:vAlign w:val="bottom"/>
          </w:tcPr>
          <w:p w14:paraId="6D082695" w14:textId="77777777" w:rsidR="0062640D" w:rsidRDefault="00C12A80">
            <w:pPr>
              <w:pStyle w:val="Accounts"/>
            </w:pPr>
            <w:r>
              <w:t>18,826</w:t>
            </w:r>
          </w:p>
        </w:tc>
        <w:tc>
          <w:tcPr>
            <w:tcW w:w="892" w:type="dxa"/>
            <w:tcBorders>
              <w:top w:val="nil"/>
              <w:left w:val="none" w:sz="8" w:space="0" w:color="auto"/>
              <w:bottom w:val="none" w:sz="8" w:space="0" w:color="auto"/>
              <w:right w:val="none" w:sz="8" w:space="0" w:color="auto"/>
            </w:tcBorders>
            <w:tcMar>
              <w:top w:w="45" w:type="dxa"/>
              <w:left w:w="0" w:type="dxa"/>
              <w:bottom w:w="56" w:type="dxa"/>
              <w:right w:w="0" w:type="dxa"/>
            </w:tcMar>
            <w:vAlign w:val="bottom"/>
          </w:tcPr>
          <w:p w14:paraId="6CBD13F1" w14:textId="77777777" w:rsidR="0062640D" w:rsidRDefault="00C12A80">
            <w:pPr>
              <w:pStyle w:val="Accounts"/>
            </w:pPr>
            <w:r>
              <w:t>11,823</w:t>
            </w:r>
          </w:p>
        </w:tc>
        <w:tc>
          <w:tcPr>
            <w:tcW w:w="892" w:type="dxa"/>
            <w:tcBorders>
              <w:top w:val="nil"/>
              <w:left w:val="none" w:sz="8" w:space="0" w:color="auto"/>
              <w:bottom w:val="none" w:sz="8" w:space="0" w:color="auto"/>
              <w:right w:val="none" w:sz="8" w:space="0" w:color="auto"/>
            </w:tcBorders>
            <w:tcMar>
              <w:top w:w="45" w:type="dxa"/>
              <w:left w:w="0" w:type="dxa"/>
              <w:bottom w:w="56" w:type="dxa"/>
              <w:right w:w="0" w:type="dxa"/>
            </w:tcMar>
            <w:vAlign w:val="bottom"/>
          </w:tcPr>
          <w:p w14:paraId="2CB30175" w14:textId="77777777" w:rsidR="0062640D" w:rsidRDefault="00C12A80">
            <w:pPr>
              <w:pStyle w:val="Accounts"/>
            </w:pPr>
            <w:r>
              <w:t>23,425</w:t>
            </w:r>
          </w:p>
        </w:tc>
        <w:tc>
          <w:tcPr>
            <w:tcW w:w="892" w:type="dxa"/>
            <w:tcBorders>
              <w:top w:val="nil"/>
              <w:left w:val="none" w:sz="8" w:space="0" w:color="auto"/>
              <w:bottom w:val="none" w:sz="8" w:space="0" w:color="auto"/>
              <w:right w:val="none" w:sz="8" w:space="0" w:color="auto"/>
            </w:tcBorders>
            <w:tcMar>
              <w:top w:w="45" w:type="dxa"/>
              <w:left w:w="0" w:type="dxa"/>
              <w:bottom w:w="56" w:type="dxa"/>
              <w:right w:w="0" w:type="dxa"/>
            </w:tcMar>
            <w:vAlign w:val="bottom"/>
          </w:tcPr>
          <w:p w14:paraId="6A4BB78C" w14:textId="77777777" w:rsidR="0062640D" w:rsidRDefault="00C12A80">
            <w:pPr>
              <w:pStyle w:val="Accounts"/>
            </w:pPr>
            <w:r>
              <w:t>54,074</w:t>
            </w:r>
          </w:p>
        </w:tc>
      </w:tr>
      <w:tr w:rsidR="0062640D" w14:paraId="4FABCA53" w14:textId="77777777">
        <w:tc>
          <w:tcPr>
            <w:tcW w:w="2892" w:type="dxa"/>
            <w:tcBorders>
              <w:top w:val="none" w:sz="8" w:space="0" w:color="auto"/>
              <w:left w:val="none" w:sz="8" w:space="0" w:color="auto"/>
              <w:bottom w:val="none" w:sz="8" w:space="0" w:color="auto"/>
              <w:right w:val="none" w:sz="8" w:space="0" w:color="auto"/>
            </w:tcBorders>
            <w:tcMar>
              <w:top w:w="45" w:type="dxa"/>
              <w:left w:w="0" w:type="dxa"/>
              <w:bottom w:w="56" w:type="dxa"/>
              <w:right w:w="0" w:type="dxa"/>
            </w:tcMar>
            <w:vAlign w:val="bottom"/>
          </w:tcPr>
          <w:p w14:paraId="659EBC56" w14:textId="77777777" w:rsidR="0062640D" w:rsidRDefault="00C12A80">
            <w:r>
              <w:t>Property, plant and equipment</w:t>
            </w:r>
          </w:p>
        </w:tc>
        <w:tc>
          <w:tcPr>
            <w:tcW w:w="892" w:type="dxa"/>
            <w:tcBorders>
              <w:top w:val="none" w:sz="8" w:space="0" w:color="auto"/>
              <w:left w:val="none" w:sz="8" w:space="0" w:color="auto"/>
              <w:bottom w:val="none" w:sz="8" w:space="0" w:color="auto"/>
              <w:right w:val="none" w:sz="8" w:space="0" w:color="auto"/>
            </w:tcBorders>
            <w:tcMar>
              <w:top w:w="45" w:type="dxa"/>
              <w:left w:w="0" w:type="dxa"/>
              <w:bottom w:w="56" w:type="dxa"/>
              <w:right w:w="0" w:type="dxa"/>
            </w:tcMar>
            <w:vAlign w:val="bottom"/>
          </w:tcPr>
          <w:p w14:paraId="15AC234F" w14:textId="4B4C5390" w:rsidR="0062640D" w:rsidRDefault="00C12A80">
            <w:pPr>
              <w:pStyle w:val="AccountsBold"/>
            </w:pPr>
            <w:r>
              <w:t>1,08</w:t>
            </w:r>
            <w:r w:rsidR="00565E9B">
              <w:t>4,417</w:t>
            </w:r>
          </w:p>
        </w:tc>
        <w:tc>
          <w:tcPr>
            <w:tcW w:w="892" w:type="dxa"/>
            <w:tcBorders>
              <w:top w:val="none" w:sz="8" w:space="0" w:color="auto"/>
              <w:left w:val="none" w:sz="8" w:space="0" w:color="auto"/>
              <w:bottom w:val="none" w:sz="8" w:space="0" w:color="auto"/>
              <w:right w:val="none" w:sz="8" w:space="0" w:color="auto"/>
            </w:tcBorders>
            <w:tcMar>
              <w:top w:w="45" w:type="dxa"/>
              <w:left w:w="0" w:type="dxa"/>
              <w:bottom w:w="56" w:type="dxa"/>
              <w:right w:w="0" w:type="dxa"/>
            </w:tcMar>
            <w:vAlign w:val="bottom"/>
          </w:tcPr>
          <w:p w14:paraId="07D34F0A" w14:textId="77777777" w:rsidR="0062640D" w:rsidRDefault="00C12A80">
            <w:pPr>
              <w:pStyle w:val="AccountsBold"/>
            </w:pPr>
            <w:r>
              <w:t>620,101</w:t>
            </w:r>
          </w:p>
        </w:tc>
        <w:tc>
          <w:tcPr>
            <w:tcW w:w="892" w:type="dxa"/>
            <w:tcBorders>
              <w:top w:val="none" w:sz="8" w:space="0" w:color="auto"/>
              <w:left w:val="none" w:sz="8" w:space="0" w:color="auto"/>
              <w:bottom w:val="none" w:sz="8" w:space="0" w:color="auto"/>
              <w:right w:val="none" w:sz="8" w:space="0" w:color="auto"/>
            </w:tcBorders>
            <w:tcMar>
              <w:top w:w="45" w:type="dxa"/>
              <w:left w:w="0" w:type="dxa"/>
              <w:bottom w:w="56" w:type="dxa"/>
              <w:right w:w="0" w:type="dxa"/>
            </w:tcMar>
            <w:vAlign w:val="bottom"/>
          </w:tcPr>
          <w:p w14:paraId="508BF518" w14:textId="77777777" w:rsidR="0062640D" w:rsidRDefault="00C12A80">
            <w:pPr>
              <w:pStyle w:val="AccountsBold"/>
            </w:pPr>
            <w:r>
              <w:t>6,456</w:t>
            </w:r>
          </w:p>
        </w:tc>
        <w:tc>
          <w:tcPr>
            <w:tcW w:w="892" w:type="dxa"/>
            <w:tcBorders>
              <w:top w:val="none" w:sz="8" w:space="0" w:color="auto"/>
              <w:left w:val="none" w:sz="8" w:space="0" w:color="auto"/>
              <w:bottom w:val="none" w:sz="8" w:space="0" w:color="auto"/>
              <w:right w:val="nil"/>
            </w:tcBorders>
            <w:tcMar>
              <w:top w:w="45" w:type="dxa"/>
              <w:left w:w="0" w:type="dxa"/>
              <w:bottom w:w="56" w:type="dxa"/>
              <w:right w:w="0" w:type="dxa"/>
            </w:tcMar>
            <w:vAlign w:val="bottom"/>
          </w:tcPr>
          <w:p w14:paraId="244677FB" w14:textId="3A80559A" w:rsidR="0062640D" w:rsidRDefault="00565E9B">
            <w:pPr>
              <w:pStyle w:val="AccountsBold"/>
            </w:pPr>
            <w:r>
              <w:t>1,710,974</w:t>
            </w:r>
          </w:p>
        </w:tc>
        <w:tc>
          <w:tcPr>
            <w:tcW w:w="60" w:type="dxa"/>
            <w:tcBorders>
              <w:top w:val="none" w:sz="8" w:space="0" w:color="auto"/>
              <w:left w:val="nil"/>
              <w:bottom w:val="none" w:sz="8" w:space="0" w:color="auto"/>
              <w:right w:val="nil"/>
            </w:tcBorders>
            <w:tcMar>
              <w:top w:w="45" w:type="dxa"/>
              <w:left w:w="0" w:type="dxa"/>
              <w:bottom w:w="56" w:type="dxa"/>
              <w:right w:w="0" w:type="dxa"/>
            </w:tcMar>
            <w:vAlign w:val="bottom"/>
          </w:tcPr>
          <w:p w14:paraId="3E759EFE" w14:textId="77777777" w:rsidR="0062640D" w:rsidRDefault="0062640D"/>
        </w:tc>
        <w:tc>
          <w:tcPr>
            <w:tcW w:w="892" w:type="dxa"/>
            <w:tcBorders>
              <w:top w:val="none" w:sz="8" w:space="0" w:color="auto"/>
              <w:left w:val="nil"/>
              <w:bottom w:val="none" w:sz="8" w:space="0" w:color="auto"/>
              <w:right w:val="none" w:sz="8" w:space="0" w:color="auto"/>
            </w:tcBorders>
            <w:tcMar>
              <w:top w:w="45" w:type="dxa"/>
              <w:left w:w="0" w:type="dxa"/>
              <w:bottom w:w="56" w:type="dxa"/>
              <w:right w:w="0" w:type="dxa"/>
            </w:tcMar>
            <w:vAlign w:val="bottom"/>
          </w:tcPr>
          <w:p w14:paraId="416142B3" w14:textId="77777777" w:rsidR="0062640D" w:rsidRDefault="00C12A80">
            <w:pPr>
              <w:pStyle w:val="Accounts"/>
            </w:pPr>
            <w:r>
              <w:t>1,100,355</w:t>
            </w:r>
          </w:p>
        </w:tc>
        <w:tc>
          <w:tcPr>
            <w:tcW w:w="892" w:type="dxa"/>
            <w:tcBorders>
              <w:top w:val="none" w:sz="8" w:space="0" w:color="auto"/>
              <w:left w:val="none" w:sz="8" w:space="0" w:color="auto"/>
              <w:bottom w:val="none" w:sz="8" w:space="0" w:color="auto"/>
              <w:right w:val="none" w:sz="8" w:space="0" w:color="auto"/>
            </w:tcBorders>
            <w:tcMar>
              <w:top w:w="45" w:type="dxa"/>
              <w:left w:w="0" w:type="dxa"/>
              <w:bottom w:w="56" w:type="dxa"/>
              <w:right w:w="0" w:type="dxa"/>
            </w:tcMar>
            <w:vAlign w:val="bottom"/>
          </w:tcPr>
          <w:p w14:paraId="4B48B15B" w14:textId="77777777" w:rsidR="0062640D" w:rsidRDefault="00C12A80">
            <w:pPr>
              <w:pStyle w:val="Accounts"/>
            </w:pPr>
            <w:r>
              <w:t>577,936</w:t>
            </w:r>
          </w:p>
        </w:tc>
        <w:tc>
          <w:tcPr>
            <w:tcW w:w="892" w:type="dxa"/>
            <w:tcBorders>
              <w:top w:val="none" w:sz="8" w:space="0" w:color="auto"/>
              <w:left w:val="none" w:sz="8" w:space="0" w:color="auto"/>
              <w:bottom w:val="none" w:sz="8" w:space="0" w:color="auto"/>
              <w:right w:val="none" w:sz="8" w:space="0" w:color="auto"/>
            </w:tcBorders>
            <w:tcMar>
              <w:top w:w="45" w:type="dxa"/>
              <w:left w:w="0" w:type="dxa"/>
              <w:bottom w:w="56" w:type="dxa"/>
              <w:right w:w="0" w:type="dxa"/>
            </w:tcMar>
            <w:vAlign w:val="bottom"/>
          </w:tcPr>
          <w:p w14:paraId="3EC8D237" w14:textId="77777777" w:rsidR="0062640D" w:rsidRDefault="00C12A80">
            <w:pPr>
              <w:pStyle w:val="Accounts"/>
            </w:pPr>
            <w:r>
              <w:t>6,540</w:t>
            </w:r>
          </w:p>
        </w:tc>
        <w:tc>
          <w:tcPr>
            <w:tcW w:w="892" w:type="dxa"/>
            <w:tcBorders>
              <w:top w:val="none" w:sz="8" w:space="0" w:color="auto"/>
              <w:left w:val="none" w:sz="8" w:space="0" w:color="auto"/>
              <w:bottom w:val="none" w:sz="8" w:space="0" w:color="auto"/>
              <w:right w:val="none" w:sz="8" w:space="0" w:color="auto"/>
            </w:tcBorders>
            <w:tcMar>
              <w:top w:w="45" w:type="dxa"/>
              <w:left w:w="0" w:type="dxa"/>
              <w:bottom w:w="56" w:type="dxa"/>
              <w:right w:w="0" w:type="dxa"/>
            </w:tcMar>
            <w:vAlign w:val="bottom"/>
          </w:tcPr>
          <w:p w14:paraId="39355FDF" w14:textId="77777777" w:rsidR="0062640D" w:rsidRDefault="00C12A80">
            <w:pPr>
              <w:pStyle w:val="Accounts"/>
            </w:pPr>
            <w:r>
              <w:t>1,684,831</w:t>
            </w:r>
          </w:p>
        </w:tc>
      </w:tr>
      <w:tr w:rsidR="0062640D" w14:paraId="1930423D" w14:textId="77777777">
        <w:tc>
          <w:tcPr>
            <w:tcW w:w="2892" w:type="dxa"/>
            <w:tcBorders>
              <w:top w:val="none" w:sz="8" w:space="0" w:color="auto"/>
              <w:left w:val="none" w:sz="8" w:space="0" w:color="auto"/>
              <w:bottom w:val="none" w:sz="8" w:space="0" w:color="auto"/>
              <w:right w:val="none" w:sz="8" w:space="0" w:color="auto"/>
            </w:tcBorders>
            <w:tcMar>
              <w:top w:w="45" w:type="dxa"/>
              <w:left w:w="0" w:type="dxa"/>
              <w:bottom w:w="56" w:type="dxa"/>
              <w:right w:w="0" w:type="dxa"/>
            </w:tcMar>
            <w:vAlign w:val="bottom"/>
          </w:tcPr>
          <w:p w14:paraId="0C7DA39A" w14:textId="77777777" w:rsidR="0062640D" w:rsidRDefault="00C12A80">
            <w:r>
              <w:t>Right-of-use assets</w:t>
            </w:r>
          </w:p>
        </w:tc>
        <w:tc>
          <w:tcPr>
            <w:tcW w:w="892" w:type="dxa"/>
            <w:tcBorders>
              <w:top w:val="none" w:sz="8" w:space="0" w:color="auto"/>
              <w:left w:val="none" w:sz="8" w:space="0" w:color="auto"/>
              <w:bottom w:val="none" w:sz="8" w:space="0" w:color="auto"/>
              <w:right w:val="none" w:sz="8" w:space="0" w:color="auto"/>
            </w:tcBorders>
            <w:tcMar>
              <w:top w:w="45" w:type="dxa"/>
              <w:left w:w="0" w:type="dxa"/>
              <w:bottom w:w="56" w:type="dxa"/>
              <w:right w:w="0" w:type="dxa"/>
            </w:tcMar>
            <w:vAlign w:val="bottom"/>
          </w:tcPr>
          <w:p w14:paraId="4AFA0F6E" w14:textId="77777777" w:rsidR="0062640D" w:rsidRDefault="00C12A80">
            <w:pPr>
              <w:pStyle w:val="AccountsBold"/>
            </w:pPr>
            <w:r>
              <w:t>280,868</w:t>
            </w:r>
          </w:p>
        </w:tc>
        <w:tc>
          <w:tcPr>
            <w:tcW w:w="892" w:type="dxa"/>
            <w:tcBorders>
              <w:top w:val="none" w:sz="8" w:space="0" w:color="auto"/>
              <w:left w:val="none" w:sz="8" w:space="0" w:color="auto"/>
              <w:bottom w:val="none" w:sz="8" w:space="0" w:color="auto"/>
              <w:right w:val="none" w:sz="8" w:space="0" w:color="auto"/>
            </w:tcBorders>
            <w:tcMar>
              <w:top w:w="45" w:type="dxa"/>
              <w:left w:w="0" w:type="dxa"/>
              <w:bottom w:w="56" w:type="dxa"/>
              <w:right w:w="0" w:type="dxa"/>
            </w:tcMar>
            <w:vAlign w:val="bottom"/>
          </w:tcPr>
          <w:p w14:paraId="762EC98C" w14:textId="77777777" w:rsidR="0062640D" w:rsidRDefault="00C12A80">
            <w:pPr>
              <w:pStyle w:val="AccountsBold"/>
            </w:pPr>
            <w:r>
              <w:t>401,597</w:t>
            </w:r>
          </w:p>
        </w:tc>
        <w:tc>
          <w:tcPr>
            <w:tcW w:w="892" w:type="dxa"/>
            <w:tcBorders>
              <w:top w:val="none" w:sz="8" w:space="0" w:color="auto"/>
              <w:left w:val="none" w:sz="8" w:space="0" w:color="auto"/>
              <w:bottom w:val="none" w:sz="8" w:space="0" w:color="auto"/>
              <w:right w:val="none" w:sz="8" w:space="0" w:color="auto"/>
            </w:tcBorders>
            <w:tcMar>
              <w:top w:w="45" w:type="dxa"/>
              <w:left w:w="0" w:type="dxa"/>
              <w:bottom w:w="56" w:type="dxa"/>
              <w:right w:w="0" w:type="dxa"/>
            </w:tcMar>
            <w:vAlign w:val="bottom"/>
          </w:tcPr>
          <w:p w14:paraId="7BF6F0D9" w14:textId="77777777" w:rsidR="0062640D" w:rsidRDefault="00C12A80">
            <w:pPr>
              <w:pStyle w:val="AccountsBold"/>
            </w:pPr>
            <w:r>
              <w:t>77,686</w:t>
            </w:r>
          </w:p>
        </w:tc>
        <w:tc>
          <w:tcPr>
            <w:tcW w:w="892" w:type="dxa"/>
            <w:tcBorders>
              <w:top w:val="none" w:sz="8" w:space="0" w:color="auto"/>
              <w:left w:val="none" w:sz="8" w:space="0" w:color="auto"/>
              <w:bottom w:val="none" w:sz="8" w:space="0" w:color="auto"/>
              <w:right w:val="nil"/>
            </w:tcBorders>
            <w:tcMar>
              <w:top w:w="45" w:type="dxa"/>
              <w:left w:w="0" w:type="dxa"/>
              <w:bottom w:w="56" w:type="dxa"/>
              <w:right w:w="0" w:type="dxa"/>
            </w:tcMar>
            <w:vAlign w:val="bottom"/>
          </w:tcPr>
          <w:p w14:paraId="4B82B1BD" w14:textId="77777777" w:rsidR="0062640D" w:rsidRDefault="00C12A80">
            <w:pPr>
              <w:pStyle w:val="AccountsBold"/>
            </w:pPr>
            <w:r>
              <w:t>760,151</w:t>
            </w:r>
          </w:p>
        </w:tc>
        <w:tc>
          <w:tcPr>
            <w:tcW w:w="60" w:type="dxa"/>
            <w:tcBorders>
              <w:top w:val="none" w:sz="8" w:space="0" w:color="auto"/>
              <w:left w:val="nil"/>
              <w:bottom w:val="none" w:sz="8" w:space="0" w:color="auto"/>
              <w:right w:val="nil"/>
            </w:tcBorders>
            <w:tcMar>
              <w:top w:w="45" w:type="dxa"/>
              <w:left w:w="0" w:type="dxa"/>
              <w:bottom w:w="56" w:type="dxa"/>
              <w:right w:w="0" w:type="dxa"/>
            </w:tcMar>
            <w:vAlign w:val="bottom"/>
          </w:tcPr>
          <w:p w14:paraId="6FE971B4" w14:textId="77777777" w:rsidR="0062640D" w:rsidRDefault="0062640D"/>
        </w:tc>
        <w:tc>
          <w:tcPr>
            <w:tcW w:w="892" w:type="dxa"/>
            <w:tcBorders>
              <w:top w:val="none" w:sz="8" w:space="0" w:color="auto"/>
              <w:left w:val="nil"/>
              <w:bottom w:val="none" w:sz="8" w:space="0" w:color="auto"/>
              <w:right w:val="none" w:sz="8" w:space="0" w:color="auto"/>
            </w:tcBorders>
            <w:tcMar>
              <w:top w:w="45" w:type="dxa"/>
              <w:left w:w="0" w:type="dxa"/>
              <w:bottom w:w="56" w:type="dxa"/>
              <w:right w:w="0" w:type="dxa"/>
            </w:tcMar>
            <w:vAlign w:val="bottom"/>
          </w:tcPr>
          <w:p w14:paraId="69BC029F" w14:textId="77777777" w:rsidR="0062640D" w:rsidRDefault="00C12A80">
            <w:pPr>
              <w:pStyle w:val="Accounts"/>
            </w:pPr>
            <w:r>
              <w:t>296,774</w:t>
            </w:r>
          </w:p>
        </w:tc>
        <w:tc>
          <w:tcPr>
            <w:tcW w:w="892" w:type="dxa"/>
            <w:tcBorders>
              <w:top w:val="none" w:sz="8" w:space="0" w:color="auto"/>
              <w:left w:val="none" w:sz="8" w:space="0" w:color="auto"/>
              <w:bottom w:val="none" w:sz="8" w:space="0" w:color="auto"/>
              <w:right w:val="none" w:sz="8" w:space="0" w:color="auto"/>
            </w:tcBorders>
            <w:tcMar>
              <w:top w:w="45" w:type="dxa"/>
              <w:left w:w="0" w:type="dxa"/>
              <w:bottom w:w="56" w:type="dxa"/>
              <w:right w:w="0" w:type="dxa"/>
            </w:tcMar>
            <w:vAlign w:val="bottom"/>
          </w:tcPr>
          <w:p w14:paraId="6CBD6DBE" w14:textId="77777777" w:rsidR="0062640D" w:rsidRDefault="00C12A80">
            <w:pPr>
              <w:pStyle w:val="Accounts"/>
            </w:pPr>
            <w:r>
              <w:t>306,381</w:t>
            </w:r>
          </w:p>
        </w:tc>
        <w:tc>
          <w:tcPr>
            <w:tcW w:w="892" w:type="dxa"/>
            <w:tcBorders>
              <w:top w:val="none" w:sz="8" w:space="0" w:color="auto"/>
              <w:left w:val="none" w:sz="8" w:space="0" w:color="auto"/>
              <w:bottom w:val="none" w:sz="8" w:space="0" w:color="auto"/>
              <w:right w:val="none" w:sz="8" w:space="0" w:color="auto"/>
            </w:tcBorders>
            <w:tcMar>
              <w:top w:w="45" w:type="dxa"/>
              <w:left w:w="0" w:type="dxa"/>
              <w:bottom w:w="56" w:type="dxa"/>
              <w:right w:w="0" w:type="dxa"/>
            </w:tcMar>
            <w:vAlign w:val="bottom"/>
          </w:tcPr>
          <w:p w14:paraId="3A280603" w14:textId="77777777" w:rsidR="0062640D" w:rsidRDefault="00C12A80">
            <w:pPr>
              <w:pStyle w:val="Accounts"/>
            </w:pPr>
            <w:r>
              <w:t>82,038</w:t>
            </w:r>
          </w:p>
        </w:tc>
        <w:tc>
          <w:tcPr>
            <w:tcW w:w="892" w:type="dxa"/>
            <w:tcBorders>
              <w:top w:val="none" w:sz="8" w:space="0" w:color="auto"/>
              <w:left w:val="none" w:sz="8" w:space="0" w:color="auto"/>
              <w:bottom w:val="nil"/>
              <w:right w:val="none" w:sz="8" w:space="0" w:color="auto"/>
            </w:tcBorders>
            <w:tcMar>
              <w:top w:w="45" w:type="dxa"/>
              <w:left w:w="0" w:type="dxa"/>
              <w:bottom w:w="56" w:type="dxa"/>
              <w:right w:w="0" w:type="dxa"/>
            </w:tcMar>
            <w:vAlign w:val="bottom"/>
          </w:tcPr>
          <w:p w14:paraId="2C7B81D3" w14:textId="77777777" w:rsidR="0062640D" w:rsidRDefault="00C12A80">
            <w:pPr>
              <w:pStyle w:val="Accounts"/>
            </w:pPr>
            <w:r>
              <w:t>685,193</w:t>
            </w:r>
          </w:p>
        </w:tc>
      </w:tr>
      <w:tr w:rsidR="0062640D" w14:paraId="1FA4C607" w14:textId="77777777">
        <w:tc>
          <w:tcPr>
            <w:tcW w:w="2892" w:type="dxa"/>
            <w:tcBorders>
              <w:top w:val="none" w:sz="8" w:space="0" w:color="auto"/>
              <w:left w:val="none" w:sz="8" w:space="0" w:color="auto"/>
              <w:bottom w:val="none" w:sz="8" w:space="0" w:color="auto"/>
              <w:right w:val="none" w:sz="8" w:space="0" w:color="auto"/>
            </w:tcBorders>
            <w:tcMar>
              <w:top w:w="45" w:type="dxa"/>
              <w:left w:w="0" w:type="dxa"/>
              <w:bottom w:w="56" w:type="dxa"/>
              <w:right w:w="0" w:type="dxa"/>
            </w:tcMar>
            <w:vAlign w:val="bottom"/>
          </w:tcPr>
          <w:p w14:paraId="6B69D5AE" w14:textId="77777777" w:rsidR="0062640D" w:rsidRDefault="00C12A80">
            <w:r>
              <w:t>Investment property</w:t>
            </w:r>
          </w:p>
        </w:tc>
        <w:tc>
          <w:tcPr>
            <w:tcW w:w="892" w:type="dxa"/>
            <w:tcBorders>
              <w:top w:val="none" w:sz="8" w:space="0" w:color="auto"/>
              <w:left w:val="none" w:sz="8" w:space="0" w:color="auto"/>
              <w:bottom w:val="none" w:sz="8" w:space="0" w:color="auto"/>
              <w:right w:val="none" w:sz="8" w:space="0" w:color="auto"/>
            </w:tcBorders>
            <w:tcMar>
              <w:top w:w="45" w:type="dxa"/>
              <w:left w:w="0" w:type="dxa"/>
              <w:bottom w:w="56" w:type="dxa"/>
              <w:right w:w="0" w:type="dxa"/>
            </w:tcMar>
            <w:vAlign w:val="bottom"/>
          </w:tcPr>
          <w:p w14:paraId="563764E7" w14:textId="2C400F1E" w:rsidR="0062640D" w:rsidRDefault="00C12A80">
            <w:pPr>
              <w:pStyle w:val="AccountsBold"/>
            </w:pPr>
            <w:r>
              <w:t>1,</w:t>
            </w:r>
            <w:r w:rsidR="00BD5A74">
              <w:t>1</w:t>
            </w:r>
            <w:r>
              <w:t>50</w:t>
            </w:r>
          </w:p>
        </w:tc>
        <w:tc>
          <w:tcPr>
            <w:tcW w:w="892" w:type="dxa"/>
            <w:tcBorders>
              <w:top w:val="none" w:sz="8" w:space="0" w:color="auto"/>
              <w:left w:val="none" w:sz="8" w:space="0" w:color="auto"/>
              <w:bottom w:val="none" w:sz="8" w:space="0" w:color="auto"/>
              <w:right w:val="none" w:sz="8" w:space="0" w:color="auto"/>
            </w:tcBorders>
            <w:tcMar>
              <w:top w:w="45" w:type="dxa"/>
              <w:left w:w="0" w:type="dxa"/>
              <w:bottom w:w="56" w:type="dxa"/>
              <w:right w:w="0" w:type="dxa"/>
            </w:tcMar>
            <w:vAlign w:val="bottom"/>
          </w:tcPr>
          <w:p w14:paraId="2626D2F4" w14:textId="77777777" w:rsidR="0062640D" w:rsidRDefault="00C12A80">
            <w:pPr>
              <w:pStyle w:val="AccountsBold"/>
            </w:pPr>
            <w:r>
              <w:t>368</w:t>
            </w:r>
          </w:p>
        </w:tc>
        <w:tc>
          <w:tcPr>
            <w:tcW w:w="892" w:type="dxa"/>
            <w:tcBorders>
              <w:top w:val="none" w:sz="8" w:space="0" w:color="auto"/>
              <w:left w:val="none" w:sz="8" w:space="0" w:color="auto"/>
              <w:bottom w:val="none" w:sz="8" w:space="0" w:color="auto"/>
              <w:right w:val="none" w:sz="8" w:space="0" w:color="auto"/>
            </w:tcBorders>
            <w:tcMar>
              <w:top w:w="45" w:type="dxa"/>
              <w:left w:w="0" w:type="dxa"/>
              <w:bottom w:w="56" w:type="dxa"/>
              <w:right w:w="0" w:type="dxa"/>
            </w:tcMar>
            <w:vAlign w:val="bottom"/>
          </w:tcPr>
          <w:p w14:paraId="3A7796BC" w14:textId="77777777" w:rsidR="0062640D" w:rsidRDefault="00C12A80">
            <w:pPr>
              <w:pStyle w:val="AccountsBold"/>
            </w:pPr>
            <w:r>
              <w:t>-</w:t>
            </w:r>
          </w:p>
        </w:tc>
        <w:tc>
          <w:tcPr>
            <w:tcW w:w="892" w:type="dxa"/>
            <w:tcBorders>
              <w:top w:val="none" w:sz="8" w:space="0" w:color="auto"/>
              <w:left w:val="none" w:sz="8" w:space="0" w:color="auto"/>
              <w:bottom w:val="none" w:sz="8" w:space="0" w:color="auto"/>
              <w:right w:val="nil"/>
            </w:tcBorders>
            <w:tcMar>
              <w:top w:w="45" w:type="dxa"/>
              <w:left w:w="0" w:type="dxa"/>
              <w:bottom w:w="56" w:type="dxa"/>
              <w:right w:w="0" w:type="dxa"/>
            </w:tcMar>
            <w:vAlign w:val="bottom"/>
          </w:tcPr>
          <w:p w14:paraId="18DE77B3" w14:textId="3B444198" w:rsidR="0062640D" w:rsidRDefault="00C12A80">
            <w:pPr>
              <w:pStyle w:val="AccountsBold"/>
            </w:pPr>
            <w:r>
              <w:t>1,</w:t>
            </w:r>
            <w:r w:rsidR="00BD5A74">
              <w:t>5</w:t>
            </w:r>
            <w:r>
              <w:t>18</w:t>
            </w:r>
          </w:p>
        </w:tc>
        <w:tc>
          <w:tcPr>
            <w:tcW w:w="60" w:type="dxa"/>
            <w:tcBorders>
              <w:top w:val="none" w:sz="8" w:space="0" w:color="auto"/>
              <w:left w:val="nil"/>
              <w:bottom w:val="none" w:sz="8" w:space="0" w:color="auto"/>
              <w:right w:val="nil"/>
            </w:tcBorders>
            <w:tcMar>
              <w:top w:w="45" w:type="dxa"/>
              <w:left w:w="0" w:type="dxa"/>
              <w:bottom w:w="56" w:type="dxa"/>
              <w:right w:w="0" w:type="dxa"/>
            </w:tcMar>
            <w:vAlign w:val="bottom"/>
          </w:tcPr>
          <w:p w14:paraId="29A2D9DB" w14:textId="77777777" w:rsidR="0062640D" w:rsidRDefault="0062640D"/>
        </w:tc>
        <w:tc>
          <w:tcPr>
            <w:tcW w:w="892" w:type="dxa"/>
            <w:tcBorders>
              <w:top w:val="none" w:sz="8" w:space="0" w:color="auto"/>
              <w:left w:val="nil"/>
              <w:bottom w:val="none" w:sz="8" w:space="0" w:color="auto"/>
              <w:right w:val="none" w:sz="8" w:space="0" w:color="auto"/>
            </w:tcBorders>
            <w:tcMar>
              <w:top w:w="45" w:type="dxa"/>
              <w:left w:w="0" w:type="dxa"/>
              <w:bottom w:w="56" w:type="dxa"/>
              <w:right w:w="0" w:type="dxa"/>
            </w:tcMar>
            <w:vAlign w:val="bottom"/>
          </w:tcPr>
          <w:p w14:paraId="678C7981" w14:textId="77777777" w:rsidR="0062640D" w:rsidRDefault="00C12A80">
            <w:pPr>
              <w:pStyle w:val="Accounts"/>
            </w:pPr>
            <w:r>
              <w:t>1,625</w:t>
            </w:r>
          </w:p>
        </w:tc>
        <w:tc>
          <w:tcPr>
            <w:tcW w:w="892" w:type="dxa"/>
            <w:tcBorders>
              <w:top w:val="none" w:sz="8" w:space="0" w:color="auto"/>
              <w:left w:val="none" w:sz="8" w:space="0" w:color="auto"/>
              <w:bottom w:val="none" w:sz="8" w:space="0" w:color="auto"/>
              <w:right w:val="none" w:sz="8" w:space="0" w:color="auto"/>
            </w:tcBorders>
            <w:tcMar>
              <w:top w:w="45" w:type="dxa"/>
              <w:left w:w="0" w:type="dxa"/>
              <w:bottom w:w="56" w:type="dxa"/>
              <w:right w:w="0" w:type="dxa"/>
            </w:tcMar>
            <w:vAlign w:val="bottom"/>
          </w:tcPr>
          <w:p w14:paraId="131E26A1" w14:textId="77777777" w:rsidR="0062640D" w:rsidRDefault="00C12A80">
            <w:pPr>
              <w:pStyle w:val="Accounts"/>
            </w:pPr>
            <w:r>
              <w:t>396</w:t>
            </w:r>
          </w:p>
        </w:tc>
        <w:tc>
          <w:tcPr>
            <w:tcW w:w="892" w:type="dxa"/>
            <w:tcBorders>
              <w:top w:val="none" w:sz="8" w:space="0" w:color="auto"/>
              <w:left w:val="none" w:sz="8" w:space="0" w:color="auto"/>
              <w:bottom w:val="none" w:sz="8" w:space="0" w:color="auto"/>
              <w:right w:val="nil"/>
            </w:tcBorders>
            <w:tcMar>
              <w:top w:w="45" w:type="dxa"/>
              <w:left w:w="0" w:type="dxa"/>
              <w:bottom w:w="56" w:type="dxa"/>
              <w:right w:w="0" w:type="dxa"/>
            </w:tcMar>
            <w:vAlign w:val="bottom"/>
          </w:tcPr>
          <w:p w14:paraId="06BC9D06" w14:textId="77777777" w:rsidR="0062640D" w:rsidRDefault="00C12A80">
            <w:pPr>
              <w:pStyle w:val="Accounts"/>
            </w:pPr>
            <w:r>
              <w:t>-</w:t>
            </w:r>
          </w:p>
        </w:tc>
        <w:tc>
          <w:tcPr>
            <w:tcW w:w="892" w:type="dxa"/>
            <w:tcBorders>
              <w:top w:val="nil"/>
              <w:left w:val="nil"/>
              <w:bottom w:val="nil"/>
              <w:right w:val="nil"/>
            </w:tcBorders>
            <w:tcMar>
              <w:top w:w="45" w:type="dxa"/>
              <w:left w:w="0" w:type="dxa"/>
              <w:bottom w:w="56" w:type="dxa"/>
              <w:right w:w="0" w:type="dxa"/>
            </w:tcMar>
            <w:vAlign w:val="bottom"/>
          </w:tcPr>
          <w:p w14:paraId="0CE09AF1" w14:textId="77777777" w:rsidR="0062640D" w:rsidRDefault="00C12A80">
            <w:pPr>
              <w:pStyle w:val="Accounts"/>
            </w:pPr>
            <w:r>
              <w:t>2,021</w:t>
            </w:r>
          </w:p>
        </w:tc>
      </w:tr>
      <w:tr w:rsidR="0062640D" w14:paraId="6810CD0D" w14:textId="77777777">
        <w:tc>
          <w:tcPr>
            <w:tcW w:w="2892" w:type="dxa"/>
            <w:tcBorders>
              <w:top w:val="none" w:sz="8" w:space="0" w:color="auto"/>
              <w:left w:val="none" w:sz="8" w:space="0" w:color="auto"/>
              <w:bottom w:val="nil"/>
              <w:right w:val="none" w:sz="8" w:space="0" w:color="auto"/>
            </w:tcBorders>
            <w:tcMar>
              <w:top w:w="45" w:type="dxa"/>
              <w:left w:w="0" w:type="dxa"/>
              <w:bottom w:w="56" w:type="dxa"/>
              <w:right w:w="0" w:type="dxa"/>
            </w:tcMar>
            <w:vAlign w:val="bottom"/>
          </w:tcPr>
          <w:p w14:paraId="0F4DB00C" w14:textId="77777777" w:rsidR="0062640D" w:rsidRDefault="00C12A80">
            <w:r>
              <w:t>Other non-current receivables</w:t>
            </w:r>
          </w:p>
        </w:tc>
        <w:tc>
          <w:tcPr>
            <w:tcW w:w="892" w:type="dxa"/>
            <w:tcBorders>
              <w:top w:val="none" w:sz="8" w:space="0" w:color="auto"/>
              <w:left w:val="none" w:sz="8" w:space="0" w:color="auto"/>
              <w:bottom w:val="nil"/>
              <w:right w:val="none" w:sz="8" w:space="0" w:color="auto"/>
            </w:tcBorders>
            <w:shd w:val="clear" w:color="auto" w:fill="FFFFFF"/>
            <w:tcMar>
              <w:top w:w="45" w:type="dxa"/>
              <w:left w:w="0" w:type="dxa"/>
              <w:bottom w:w="56" w:type="dxa"/>
              <w:right w:w="0" w:type="dxa"/>
            </w:tcMar>
            <w:vAlign w:val="bottom"/>
          </w:tcPr>
          <w:p w14:paraId="326763FF" w14:textId="77777777" w:rsidR="0062640D" w:rsidRDefault="00C12A80">
            <w:pPr>
              <w:pStyle w:val="AccountsBold"/>
            </w:pPr>
            <w:r>
              <w:t>7,362</w:t>
            </w:r>
          </w:p>
        </w:tc>
        <w:tc>
          <w:tcPr>
            <w:tcW w:w="892" w:type="dxa"/>
            <w:tcBorders>
              <w:top w:val="none" w:sz="8" w:space="0" w:color="auto"/>
              <w:left w:val="none" w:sz="8" w:space="0" w:color="auto"/>
              <w:bottom w:val="nil"/>
              <w:right w:val="none" w:sz="8" w:space="0" w:color="auto"/>
            </w:tcBorders>
            <w:shd w:val="clear" w:color="auto" w:fill="FFFFFF"/>
            <w:tcMar>
              <w:top w:w="45" w:type="dxa"/>
              <w:left w:w="0" w:type="dxa"/>
              <w:bottom w:w="56" w:type="dxa"/>
              <w:right w:w="0" w:type="dxa"/>
            </w:tcMar>
            <w:vAlign w:val="bottom"/>
          </w:tcPr>
          <w:p w14:paraId="43740AD9" w14:textId="77777777" w:rsidR="0062640D" w:rsidRDefault="00C12A80">
            <w:pPr>
              <w:pStyle w:val="AccountsBold"/>
            </w:pPr>
            <w:r>
              <w:t>-</w:t>
            </w:r>
          </w:p>
        </w:tc>
        <w:tc>
          <w:tcPr>
            <w:tcW w:w="892" w:type="dxa"/>
            <w:tcBorders>
              <w:top w:val="none" w:sz="8" w:space="0" w:color="auto"/>
              <w:left w:val="none" w:sz="8" w:space="0" w:color="auto"/>
              <w:bottom w:val="nil"/>
              <w:right w:val="none" w:sz="8" w:space="0" w:color="auto"/>
            </w:tcBorders>
            <w:shd w:val="clear" w:color="auto" w:fill="FFFFFF"/>
            <w:tcMar>
              <w:top w:w="45" w:type="dxa"/>
              <w:left w:w="0" w:type="dxa"/>
              <w:bottom w:w="56" w:type="dxa"/>
              <w:right w:w="0" w:type="dxa"/>
            </w:tcMar>
            <w:vAlign w:val="bottom"/>
          </w:tcPr>
          <w:p w14:paraId="55D0FF2C" w14:textId="77777777" w:rsidR="0062640D" w:rsidRDefault="00C12A80">
            <w:pPr>
              <w:pStyle w:val="AccountsBold"/>
            </w:pPr>
            <w:r>
              <w:t>-</w:t>
            </w:r>
          </w:p>
        </w:tc>
        <w:tc>
          <w:tcPr>
            <w:tcW w:w="892" w:type="dxa"/>
            <w:tcBorders>
              <w:top w:val="none" w:sz="8" w:space="0" w:color="auto"/>
              <w:left w:val="none" w:sz="8" w:space="0" w:color="auto"/>
              <w:bottom w:val="nil"/>
              <w:right w:val="nil"/>
            </w:tcBorders>
            <w:shd w:val="clear" w:color="auto" w:fill="FFFFFF"/>
            <w:tcMar>
              <w:top w:w="45" w:type="dxa"/>
              <w:left w:w="0" w:type="dxa"/>
              <w:bottom w:w="56" w:type="dxa"/>
              <w:right w:w="0" w:type="dxa"/>
            </w:tcMar>
            <w:vAlign w:val="bottom"/>
          </w:tcPr>
          <w:p w14:paraId="4DDA1ABE" w14:textId="77777777" w:rsidR="0062640D" w:rsidRDefault="00C12A80">
            <w:pPr>
              <w:pStyle w:val="AccountsBold"/>
            </w:pPr>
            <w:r>
              <w:t>7,362</w:t>
            </w:r>
          </w:p>
        </w:tc>
        <w:tc>
          <w:tcPr>
            <w:tcW w:w="60" w:type="dxa"/>
            <w:tcBorders>
              <w:top w:val="none" w:sz="8" w:space="0" w:color="auto"/>
              <w:left w:val="nil"/>
              <w:bottom w:val="none" w:sz="8" w:space="0" w:color="auto"/>
              <w:right w:val="nil"/>
            </w:tcBorders>
            <w:tcMar>
              <w:top w:w="45" w:type="dxa"/>
              <w:left w:w="0" w:type="dxa"/>
              <w:bottom w:w="56" w:type="dxa"/>
              <w:right w:w="0" w:type="dxa"/>
            </w:tcMar>
            <w:vAlign w:val="bottom"/>
          </w:tcPr>
          <w:p w14:paraId="4340CA1C" w14:textId="77777777" w:rsidR="0062640D" w:rsidRDefault="0062640D"/>
        </w:tc>
        <w:tc>
          <w:tcPr>
            <w:tcW w:w="892" w:type="dxa"/>
            <w:tcBorders>
              <w:top w:val="none" w:sz="8" w:space="0" w:color="auto"/>
              <w:left w:val="nil"/>
              <w:bottom w:val="nil"/>
              <w:right w:val="none" w:sz="8" w:space="0" w:color="auto"/>
            </w:tcBorders>
            <w:tcMar>
              <w:top w:w="45" w:type="dxa"/>
              <w:left w:w="0" w:type="dxa"/>
              <w:bottom w:w="56" w:type="dxa"/>
              <w:right w:w="0" w:type="dxa"/>
            </w:tcMar>
            <w:vAlign w:val="bottom"/>
          </w:tcPr>
          <w:p w14:paraId="27965AE8" w14:textId="77777777" w:rsidR="0062640D" w:rsidRDefault="00C12A80">
            <w:pPr>
              <w:pStyle w:val="Accounts"/>
            </w:pPr>
            <w:r>
              <w:t>3,287</w:t>
            </w:r>
          </w:p>
        </w:tc>
        <w:tc>
          <w:tcPr>
            <w:tcW w:w="892" w:type="dxa"/>
            <w:tcBorders>
              <w:top w:val="none" w:sz="8" w:space="0" w:color="auto"/>
              <w:left w:val="none" w:sz="8" w:space="0" w:color="auto"/>
              <w:bottom w:val="nil"/>
              <w:right w:val="none" w:sz="8" w:space="0" w:color="auto"/>
            </w:tcBorders>
            <w:tcMar>
              <w:top w:w="45" w:type="dxa"/>
              <w:left w:w="0" w:type="dxa"/>
              <w:bottom w:w="56" w:type="dxa"/>
              <w:right w:w="0" w:type="dxa"/>
            </w:tcMar>
            <w:vAlign w:val="bottom"/>
          </w:tcPr>
          <w:p w14:paraId="4E2A3BBD" w14:textId="77777777" w:rsidR="0062640D" w:rsidRDefault="00C12A80">
            <w:pPr>
              <w:pStyle w:val="Accounts"/>
            </w:pPr>
            <w:r>
              <w:t>3,131</w:t>
            </w:r>
          </w:p>
        </w:tc>
        <w:tc>
          <w:tcPr>
            <w:tcW w:w="892" w:type="dxa"/>
            <w:tcBorders>
              <w:top w:val="none" w:sz="8" w:space="0" w:color="auto"/>
              <w:left w:val="none" w:sz="8" w:space="0" w:color="auto"/>
              <w:bottom w:val="nil"/>
              <w:right w:val="none" w:sz="8" w:space="0" w:color="auto"/>
            </w:tcBorders>
            <w:tcMar>
              <w:top w:w="45" w:type="dxa"/>
              <w:left w:w="0" w:type="dxa"/>
              <w:bottom w:w="56" w:type="dxa"/>
              <w:right w:w="0" w:type="dxa"/>
            </w:tcMar>
            <w:vAlign w:val="bottom"/>
          </w:tcPr>
          <w:p w14:paraId="4542AA1C" w14:textId="77777777" w:rsidR="0062640D" w:rsidRDefault="00C12A80">
            <w:pPr>
              <w:pStyle w:val="Accounts"/>
            </w:pPr>
            <w:r>
              <w:t>-</w:t>
            </w:r>
          </w:p>
        </w:tc>
        <w:tc>
          <w:tcPr>
            <w:tcW w:w="892" w:type="dxa"/>
            <w:tcBorders>
              <w:top w:val="nil"/>
              <w:left w:val="none" w:sz="8" w:space="0" w:color="auto"/>
              <w:bottom w:val="nil"/>
              <w:right w:val="none" w:sz="8" w:space="0" w:color="auto"/>
            </w:tcBorders>
            <w:tcMar>
              <w:top w:w="45" w:type="dxa"/>
              <w:left w:w="0" w:type="dxa"/>
              <w:bottom w:w="56" w:type="dxa"/>
              <w:right w:w="0" w:type="dxa"/>
            </w:tcMar>
            <w:vAlign w:val="bottom"/>
          </w:tcPr>
          <w:p w14:paraId="2984D5F4" w14:textId="77777777" w:rsidR="0062640D" w:rsidRDefault="00C12A80">
            <w:pPr>
              <w:pStyle w:val="Accounts"/>
            </w:pPr>
            <w:r>
              <w:t>6,418</w:t>
            </w:r>
          </w:p>
        </w:tc>
      </w:tr>
      <w:tr w:rsidR="0062640D" w14:paraId="4C81C70A" w14:textId="77777777">
        <w:tc>
          <w:tcPr>
            <w:tcW w:w="2892" w:type="dxa"/>
            <w:tcBorders>
              <w:top w:val="nil"/>
              <w:left w:val="nil"/>
              <w:bottom w:val="nil"/>
              <w:right w:val="nil"/>
            </w:tcBorders>
            <w:tcMar>
              <w:top w:w="45" w:type="dxa"/>
              <w:left w:w="0" w:type="dxa"/>
              <w:bottom w:w="56" w:type="dxa"/>
              <w:right w:w="0" w:type="dxa"/>
            </w:tcMar>
            <w:vAlign w:val="bottom"/>
          </w:tcPr>
          <w:p w14:paraId="67975CA3" w14:textId="77777777" w:rsidR="0062640D" w:rsidRDefault="00C12A80">
            <w:r>
              <w:t>Other current assets</w:t>
            </w:r>
          </w:p>
        </w:tc>
        <w:tc>
          <w:tcPr>
            <w:tcW w:w="892" w:type="dxa"/>
            <w:tcBorders>
              <w:top w:val="nil"/>
              <w:left w:val="nil"/>
              <w:bottom w:val="nil"/>
              <w:right w:val="nil"/>
            </w:tcBorders>
            <w:tcMar>
              <w:top w:w="45" w:type="dxa"/>
              <w:left w:w="0" w:type="dxa"/>
              <w:bottom w:w="56" w:type="dxa"/>
              <w:right w:w="0" w:type="dxa"/>
            </w:tcMar>
            <w:vAlign w:val="bottom"/>
          </w:tcPr>
          <w:p w14:paraId="34C9CF27" w14:textId="77777777" w:rsidR="0062640D" w:rsidRDefault="00C12A80">
            <w:pPr>
              <w:pStyle w:val="AccountsBold"/>
            </w:pPr>
            <w:r>
              <w:t>37,903</w:t>
            </w:r>
          </w:p>
        </w:tc>
        <w:tc>
          <w:tcPr>
            <w:tcW w:w="892" w:type="dxa"/>
            <w:tcBorders>
              <w:top w:val="nil"/>
              <w:left w:val="nil"/>
              <w:bottom w:val="nil"/>
              <w:right w:val="nil"/>
            </w:tcBorders>
            <w:tcMar>
              <w:top w:w="45" w:type="dxa"/>
              <w:left w:w="0" w:type="dxa"/>
              <w:bottom w:w="56" w:type="dxa"/>
              <w:right w:w="0" w:type="dxa"/>
            </w:tcMar>
            <w:vAlign w:val="bottom"/>
          </w:tcPr>
          <w:p w14:paraId="3D1CE143" w14:textId="77777777" w:rsidR="0062640D" w:rsidRDefault="00C12A80">
            <w:pPr>
              <w:pStyle w:val="AccountsBold"/>
            </w:pPr>
            <w:r>
              <w:t>30,515</w:t>
            </w:r>
          </w:p>
        </w:tc>
        <w:tc>
          <w:tcPr>
            <w:tcW w:w="892" w:type="dxa"/>
            <w:tcBorders>
              <w:top w:val="nil"/>
              <w:left w:val="nil"/>
              <w:bottom w:val="nil"/>
              <w:right w:val="nil"/>
            </w:tcBorders>
            <w:tcMar>
              <w:top w:w="45" w:type="dxa"/>
              <w:left w:w="0" w:type="dxa"/>
              <w:bottom w:w="56" w:type="dxa"/>
              <w:right w:w="0" w:type="dxa"/>
            </w:tcMar>
            <w:vAlign w:val="bottom"/>
          </w:tcPr>
          <w:p w14:paraId="17FA95DE" w14:textId="77777777" w:rsidR="0062640D" w:rsidRDefault="00C12A80">
            <w:pPr>
              <w:pStyle w:val="AccountsBold"/>
            </w:pPr>
            <w:r>
              <w:t>4,760</w:t>
            </w:r>
          </w:p>
        </w:tc>
        <w:tc>
          <w:tcPr>
            <w:tcW w:w="892" w:type="dxa"/>
            <w:tcBorders>
              <w:top w:val="nil"/>
              <w:left w:val="nil"/>
              <w:bottom w:val="nil"/>
              <w:right w:val="nil"/>
            </w:tcBorders>
            <w:tcMar>
              <w:top w:w="45" w:type="dxa"/>
              <w:left w:w="0" w:type="dxa"/>
              <w:bottom w:w="56" w:type="dxa"/>
              <w:right w:w="0" w:type="dxa"/>
            </w:tcMar>
            <w:vAlign w:val="bottom"/>
          </w:tcPr>
          <w:p w14:paraId="035426EA" w14:textId="77777777" w:rsidR="0062640D" w:rsidRDefault="00C12A80">
            <w:pPr>
              <w:pStyle w:val="AccountsBold"/>
            </w:pPr>
            <w:r>
              <w:t>73,178</w:t>
            </w:r>
          </w:p>
        </w:tc>
        <w:tc>
          <w:tcPr>
            <w:tcW w:w="60" w:type="dxa"/>
            <w:tcBorders>
              <w:top w:val="none" w:sz="8" w:space="0" w:color="auto"/>
              <w:left w:val="nil"/>
              <w:bottom w:val="none" w:sz="8" w:space="0" w:color="auto"/>
              <w:right w:val="nil"/>
            </w:tcBorders>
            <w:tcMar>
              <w:top w:w="45" w:type="dxa"/>
              <w:left w:w="0" w:type="dxa"/>
              <w:bottom w:w="56" w:type="dxa"/>
              <w:right w:w="0" w:type="dxa"/>
            </w:tcMar>
            <w:vAlign w:val="bottom"/>
          </w:tcPr>
          <w:p w14:paraId="4E659A80" w14:textId="77777777" w:rsidR="0062640D" w:rsidRDefault="0062640D"/>
        </w:tc>
        <w:tc>
          <w:tcPr>
            <w:tcW w:w="892" w:type="dxa"/>
            <w:tcBorders>
              <w:top w:val="nil"/>
              <w:left w:val="nil"/>
              <w:bottom w:val="nil"/>
              <w:right w:val="nil"/>
            </w:tcBorders>
            <w:tcMar>
              <w:top w:w="45" w:type="dxa"/>
              <w:left w:w="0" w:type="dxa"/>
              <w:bottom w:w="56" w:type="dxa"/>
              <w:right w:w="0" w:type="dxa"/>
            </w:tcMar>
            <w:vAlign w:val="bottom"/>
          </w:tcPr>
          <w:p w14:paraId="2AE502E3" w14:textId="77777777" w:rsidR="0062640D" w:rsidRDefault="00C12A80">
            <w:pPr>
              <w:pStyle w:val="Accounts"/>
            </w:pPr>
            <w:r>
              <w:t>35,033</w:t>
            </w:r>
          </w:p>
        </w:tc>
        <w:tc>
          <w:tcPr>
            <w:tcW w:w="892" w:type="dxa"/>
            <w:tcBorders>
              <w:top w:val="nil"/>
              <w:left w:val="nil"/>
              <w:bottom w:val="nil"/>
              <w:right w:val="nil"/>
            </w:tcBorders>
            <w:tcMar>
              <w:top w:w="45" w:type="dxa"/>
              <w:left w:w="0" w:type="dxa"/>
              <w:bottom w:w="56" w:type="dxa"/>
              <w:right w:w="0" w:type="dxa"/>
            </w:tcMar>
            <w:vAlign w:val="bottom"/>
          </w:tcPr>
          <w:p w14:paraId="2EAC758A" w14:textId="77777777" w:rsidR="0062640D" w:rsidRDefault="00C12A80">
            <w:pPr>
              <w:pStyle w:val="Accounts"/>
            </w:pPr>
            <w:r>
              <w:t>23,388</w:t>
            </w:r>
          </w:p>
        </w:tc>
        <w:tc>
          <w:tcPr>
            <w:tcW w:w="892" w:type="dxa"/>
            <w:tcBorders>
              <w:top w:val="nil"/>
              <w:left w:val="nil"/>
              <w:bottom w:val="nil"/>
              <w:right w:val="nil"/>
            </w:tcBorders>
            <w:tcMar>
              <w:top w:w="45" w:type="dxa"/>
              <w:left w:w="0" w:type="dxa"/>
              <w:bottom w:w="56" w:type="dxa"/>
              <w:right w:w="0" w:type="dxa"/>
            </w:tcMar>
            <w:vAlign w:val="bottom"/>
          </w:tcPr>
          <w:p w14:paraId="2925F604" w14:textId="77777777" w:rsidR="0062640D" w:rsidRDefault="00C12A80">
            <w:pPr>
              <w:pStyle w:val="Accounts"/>
            </w:pPr>
            <w:r>
              <w:t>6,415</w:t>
            </w:r>
          </w:p>
        </w:tc>
        <w:tc>
          <w:tcPr>
            <w:tcW w:w="892" w:type="dxa"/>
            <w:tcBorders>
              <w:top w:val="nil"/>
              <w:left w:val="nil"/>
              <w:bottom w:val="nil"/>
              <w:right w:val="nil"/>
            </w:tcBorders>
            <w:tcMar>
              <w:top w:w="45" w:type="dxa"/>
              <w:left w:w="0" w:type="dxa"/>
              <w:bottom w:w="56" w:type="dxa"/>
              <w:right w:w="0" w:type="dxa"/>
            </w:tcMar>
            <w:vAlign w:val="bottom"/>
          </w:tcPr>
          <w:p w14:paraId="305BCAD9" w14:textId="77777777" w:rsidR="0062640D" w:rsidRDefault="00C12A80">
            <w:pPr>
              <w:pStyle w:val="Accounts"/>
            </w:pPr>
            <w:r>
              <w:t>64,836</w:t>
            </w:r>
          </w:p>
        </w:tc>
      </w:tr>
      <w:tr w:rsidR="0062640D" w14:paraId="21FFE6DD" w14:textId="77777777">
        <w:tc>
          <w:tcPr>
            <w:tcW w:w="2892" w:type="dxa"/>
            <w:tcBorders>
              <w:top w:val="nil"/>
              <w:left w:val="nil"/>
              <w:bottom w:val="single" w:sz="2" w:space="0" w:color="FF777C"/>
              <w:right w:val="nil"/>
            </w:tcBorders>
            <w:tcMar>
              <w:top w:w="45" w:type="dxa"/>
              <w:left w:w="0" w:type="dxa"/>
              <w:bottom w:w="56" w:type="dxa"/>
              <w:right w:w="0" w:type="dxa"/>
            </w:tcMar>
            <w:vAlign w:val="bottom"/>
          </w:tcPr>
          <w:p w14:paraId="29BDAD2A" w14:textId="77777777" w:rsidR="0062640D" w:rsidRDefault="00C12A80">
            <w:r>
              <w:t>Assets held for sale</w:t>
            </w:r>
          </w:p>
        </w:tc>
        <w:tc>
          <w:tcPr>
            <w:tcW w:w="892" w:type="dxa"/>
            <w:tcBorders>
              <w:top w:val="nil"/>
              <w:left w:val="nil"/>
              <w:bottom w:val="single" w:sz="2" w:space="0" w:color="FF777C"/>
              <w:right w:val="nil"/>
            </w:tcBorders>
            <w:tcMar>
              <w:top w:w="45" w:type="dxa"/>
              <w:left w:w="0" w:type="dxa"/>
              <w:bottom w:w="56" w:type="dxa"/>
              <w:right w:w="0" w:type="dxa"/>
            </w:tcMar>
            <w:vAlign w:val="bottom"/>
          </w:tcPr>
          <w:p w14:paraId="6CA8F8A0" w14:textId="0CB4ED31" w:rsidR="0062640D" w:rsidRDefault="00BD5A74">
            <w:pPr>
              <w:pStyle w:val="AccountsBold"/>
            </w:pPr>
            <w:r>
              <w:t>20,717</w:t>
            </w:r>
          </w:p>
        </w:tc>
        <w:tc>
          <w:tcPr>
            <w:tcW w:w="892" w:type="dxa"/>
            <w:tcBorders>
              <w:top w:val="nil"/>
              <w:left w:val="nil"/>
              <w:bottom w:val="single" w:sz="2" w:space="0" w:color="FF777C"/>
              <w:right w:val="nil"/>
            </w:tcBorders>
            <w:tcMar>
              <w:top w:w="45" w:type="dxa"/>
              <w:left w:w="0" w:type="dxa"/>
              <w:bottom w:w="56" w:type="dxa"/>
              <w:right w:w="0" w:type="dxa"/>
            </w:tcMar>
            <w:vAlign w:val="bottom"/>
          </w:tcPr>
          <w:p w14:paraId="29570032" w14:textId="77777777" w:rsidR="0062640D" w:rsidRDefault="00C12A80">
            <w:pPr>
              <w:pStyle w:val="AccountsBold"/>
            </w:pPr>
            <w:r>
              <w:t>-</w:t>
            </w:r>
          </w:p>
        </w:tc>
        <w:tc>
          <w:tcPr>
            <w:tcW w:w="892" w:type="dxa"/>
            <w:tcBorders>
              <w:top w:val="nil"/>
              <w:left w:val="nil"/>
              <w:bottom w:val="single" w:sz="2" w:space="0" w:color="FF777C"/>
              <w:right w:val="nil"/>
            </w:tcBorders>
            <w:tcMar>
              <w:top w:w="45" w:type="dxa"/>
              <w:left w:w="0" w:type="dxa"/>
              <w:bottom w:w="56" w:type="dxa"/>
              <w:right w:w="0" w:type="dxa"/>
            </w:tcMar>
            <w:vAlign w:val="bottom"/>
          </w:tcPr>
          <w:p w14:paraId="09AF5190" w14:textId="77777777" w:rsidR="0062640D" w:rsidRDefault="00C12A80">
            <w:pPr>
              <w:pStyle w:val="AccountsBold"/>
            </w:pPr>
            <w:r>
              <w:t>-</w:t>
            </w:r>
          </w:p>
        </w:tc>
        <w:tc>
          <w:tcPr>
            <w:tcW w:w="892" w:type="dxa"/>
            <w:tcBorders>
              <w:top w:val="nil"/>
              <w:left w:val="nil"/>
              <w:bottom w:val="single" w:sz="2" w:space="0" w:color="FF777C"/>
              <w:right w:val="nil"/>
            </w:tcBorders>
            <w:tcMar>
              <w:top w:w="45" w:type="dxa"/>
              <w:left w:w="0" w:type="dxa"/>
              <w:bottom w:w="56" w:type="dxa"/>
              <w:right w:w="0" w:type="dxa"/>
            </w:tcMar>
            <w:vAlign w:val="bottom"/>
          </w:tcPr>
          <w:p w14:paraId="25D8BB29" w14:textId="794E72D9" w:rsidR="0062640D" w:rsidRDefault="00BD5A74">
            <w:pPr>
              <w:pStyle w:val="AccountsBold"/>
            </w:pPr>
            <w:r>
              <w:t>20,717</w:t>
            </w:r>
          </w:p>
        </w:tc>
        <w:tc>
          <w:tcPr>
            <w:tcW w:w="60" w:type="dxa"/>
            <w:tcBorders>
              <w:top w:val="none" w:sz="8" w:space="0" w:color="auto"/>
              <w:left w:val="nil"/>
              <w:bottom w:val="none" w:sz="8" w:space="0" w:color="auto"/>
              <w:right w:val="nil"/>
            </w:tcBorders>
            <w:tcMar>
              <w:top w:w="45" w:type="dxa"/>
              <w:left w:w="0" w:type="dxa"/>
              <w:bottom w:w="56" w:type="dxa"/>
              <w:right w:w="0" w:type="dxa"/>
            </w:tcMar>
            <w:vAlign w:val="bottom"/>
          </w:tcPr>
          <w:p w14:paraId="0690D011" w14:textId="77777777" w:rsidR="0062640D" w:rsidRDefault="0062640D"/>
        </w:tc>
        <w:tc>
          <w:tcPr>
            <w:tcW w:w="892" w:type="dxa"/>
            <w:tcBorders>
              <w:top w:val="nil"/>
              <w:left w:val="nil"/>
              <w:bottom w:val="single" w:sz="2" w:space="0" w:color="FF777C"/>
              <w:right w:val="nil"/>
            </w:tcBorders>
            <w:tcMar>
              <w:top w:w="45" w:type="dxa"/>
              <w:left w:w="0" w:type="dxa"/>
              <w:bottom w:w="56" w:type="dxa"/>
              <w:right w:w="0" w:type="dxa"/>
            </w:tcMar>
            <w:vAlign w:val="bottom"/>
          </w:tcPr>
          <w:p w14:paraId="7C8ACA2E" w14:textId="77777777" w:rsidR="0062640D" w:rsidRDefault="00C12A80">
            <w:pPr>
              <w:pStyle w:val="Accounts"/>
            </w:pPr>
            <w:r>
              <w:t>-</w:t>
            </w:r>
          </w:p>
        </w:tc>
        <w:tc>
          <w:tcPr>
            <w:tcW w:w="892" w:type="dxa"/>
            <w:tcBorders>
              <w:top w:val="nil"/>
              <w:left w:val="nil"/>
              <w:bottom w:val="single" w:sz="2" w:space="0" w:color="FF777C"/>
              <w:right w:val="nil"/>
            </w:tcBorders>
            <w:tcMar>
              <w:top w:w="45" w:type="dxa"/>
              <w:left w:w="0" w:type="dxa"/>
              <w:bottom w:w="56" w:type="dxa"/>
              <w:right w:w="0" w:type="dxa"/>
            </w:tcMar>
            <w:vAlign w:val="bottom"/>
          </w:tcPr>
          <w:p w14:paraId="737B34C7" w14:textId="77777777" w:rsidR="0062640D" w:rsidRDefault="00C12A80">
            <w:pPr>
              <w:pStyle w:val="Accounts"/>
            </w:pPr>
            <w:r>
              <w:t>-</w:t>
            </w:r>
          </w:p>
        </w:tc>
        <w:tc>
          <w:tcPr>
            <w:tcW w:w="892" w:type="dxa"/>
            <w:tcBorders>
              <w:top w:val="nil"/>
              <w:left w:val="nil"/>
              <w:bottom w:val="single" w:sz="2" w:space="0" w:color="FF777C"/>
              <w:right w:val="nil"/>
            </w:tcBorders>
            <w:tcMar>
              <w:top w:w="45" w:type="dxa"/>
              <w:left w:w="0" w:type="dxa"/>
              <w:bottom w:w="56" w:type="dxa"/>
              <w:right w:w="0" w:type="dxa"/>
            </w:tcMar>
            <w:vAlign w:val="bottom"/>
          </w:tcPr>
          <w:p w14:paraId="58A4B00D" w14:textId="77777777" w:rsidR="0062640D" w:rsidRDefault="00C12A80">
            <w:pPr>
              <w:pStyle w:val="Accounts"/>
            </w:pPr>
            <w:r>
              <w:t>-</w:t>
            </w:r>
          </w:p>
        </w:tc>
        <w:tc>
          <w:tcPr>
            <w:tcW w:w="892" w:type="dxa"/>
            <w:tcBorders>
              <w:top w:val="nil"/>
              <w:left w:val="nil"/>
              <w:bottom w:val="single" w:sz="2" w:space="0" w:color="FF777C"/>
              <w:right w:val="nil"/>
            </w:tcBorders>
            <w:tcMar>
              <w:top w:w="45" w:type="dxa"/>
              <w:left w:w="0" w:type="dxa"/>
              <w:bottom w:w="56" w:type="dxa"/>
              <w:right w:w="0" w:type="dxa"/>
            </w:tcMar>
            <w:vAlign w:val="bottom"/>
          </w:tcPr>
          <w:p w14:paraId="4102C301" w14:textId="77777777" w:rsidR="0062640D" w:rsidRDefault="00C12A80">
            <w:pPr>
              <w:pStyle w:val="Accounts"/>
            </w:pPr>
            <w:r>
              <w:t>-</w:t>
            </w:r>
          </w:p>
        </w:tc>
      </w:tr>
      <w:tr w:rsidR="0062640D" w14:paraId="14062D2E" w14:textId="77777777">
        <w:tc>
          <w:tcPr>
            <w:tcW w:w="2892" w:type="dxa"/>
            <w:tcBorders>
              <w:top w:val="single" w:sz="2" w:space="0" w:color="FF777C"/>
              <w:left w:val="nil"/>
              <w:bottom w:val="nil"/>
              <w:right w:val="nil"/>
            </w:tcBorders>
            <w:tcMar>
              <w:top w:w="45" w:type="dxa"/>
              <w:left w:w="0" w:type="dxa"/>
              <w:bottom w:w="56" w:type="dxa"/>
              <w:right w:w="0" w:type="dxa"/>
            </w:tcMar>
            <w:vAlign w:val="bottom"/>
          </w:tcPr>
          <w:p w14:paraId="71487C88" w14:textId="77777777" w:rsidR="0062640D" w:rsidRDefault="0062640D"/>
        </w:tc>
        <w:tc>
          <w:tcPr>
            <w:tcW w:w="892" w:type="dxa"/>
            <w:tcBorders>
              <w:top w:val="single" w:sz="2" w:space="0" w:color="FF777C"/>
              <w:left w:val="nil"/>
              <w:bottom w:val="nil"/>
              <w:right w:val="nil"/>
            </w:tcBorders>
            <w:tcMar>
              <w:top w:w="45" w:type="dxa"/>
              <w:left w:w="0" w:type="dxa"/>
              <w:bottom w:w="56" w:type="dxa"/>
              <w:right w:w="0" w:type="dxa"/>
            </w:tcMar>
            <w:vAlign w:val="bottom"/>
          </w:tcPr>
          <w:p w14:paraId="04DE5BDB" w14:textId="77777777" w:rsidR="0062640D" w:rsidRDefault="0062640D"/>
        </w:tc>
        <w:tc>
          <w:tcPr>
            <w:tcW w:w="892" w:type="dxa"/>
            <w:tcBorders>
              <w:top w:val="single" w:sz="2" w:space="0" w:color="FF777C"/>
              <w:left w:val="nil"/>
              <w:bottom w:val="nil"/>
              <w:right w:val="nil"/>
            </w:tcBorders>
            <w:tcMar>
              <w:top w:w="45" w:type="dxa"/>
              <w:left w:w="0" w:type="dxa"/>
              <w:bottom w:w="56" w:type="dxa"/>
              <w:right w:w="0" w:type="dxa"/>
            </w:tcMar>
            <w:vAlign w:val="bottom"/>
          </w:tcPr>
          <w:p w14:paraId="617689FE" w14:textId="77777777" w:rsidR="0062640D" w:rsidRDefault="0062640D"/>
        </w:tc>
        <w:tc>
          <w:tcPr>
            <w:tcW w:w="892" w:type="dxa"/>
            <w:tcBorders>
              <w:top w:val="single" w:sz="2" w:space="0" w:color="FF777C"/>
              <w:left w:val="nil"/>
              <w:bottom w:val="nil"/>
              <w:right w:val="nil"/>
            </w:tcBorders>
            <w:tcMar>
              <w:top w:w="45" w:type="dxa"/>
              <w:left w:w="0" w:type="dxa"/>
              <w:bottom w:w="56" w:type="dxa"/>
              <w:right w:w="0" w:type="dxa"/>
            </w:tcMar>
            <w:vAlign w:val="bottom"/>
          </w:tcPr>
          <w:p w14:paraId="1B98C046" w14:textId="77777777" w:rsidR="0062640D" w:rsidRDefault="0062640D"/>
        </w:tc>
        <w:tc>
          <w:tcPr>
            <w:tcW w:w="892" w:type="dxa"/>
            <w:tcBorders>
              <w:top w:val="single" w:sz="2" w:space="0" w:color="FF777C"/>
              <w:left w:val="nil"/>
              <w:bottom w:val="nil"/>
              <w:right w:val="nil"/>
            </w:tcBorders>
            <w:tcMar>
              <w:top w:w="45" w:type="dxa"/>
              <w:left w:w="0" w:type="dxa"/>
              <w:bottom w:w="56" w:type="dxa"/>
              <w:right w:w="0" w:type="dxa"/>
            </w:tcMar>
            <w:vAlign w:val="bottom"/>
          </w:tcPr>
          <w:p w14:paraId="4E14FF97" w14:textId="77777777" w:rsidR="0062640D" w:rsidRDefault="0062640D"/>
        </w:tc>
        <w:tc>
          <w:tcPr>
            <w:tcW w:w="60" w:type="dxa"/>
            <w:tcBorders>
              <w:top w:val="none" w:sz="8" w:space="0" w:color="auto"/>
              <w:left w:val="nil"/>
              <w:bottom w:val="none" w:sz="8" w:space="0" w:color="auto"/>
              <w:right w:val="nil"/>
            </w:tcBorders>
            <w:tcMar>
              <w:top w:w="45" w:type="dxa"/>
              <w:left w:w="0" w:type="dxa"/>
              <w:bottom w:w="56" w:type="dxa"/>
              <w:right w:w="0" w:type="dxa"/>
            </w:tcMar>
            <w:vAlign w:val="bottom"/>
          </w:tcPr>
          <w:p w14:paraId="169E2C9C" w14:textId="77777777" w:rsidR="0062640D" w:rsidRDefault="0062640D"/>
        </w:tc>
        <w:tc>
          <w:tcPr>
            <w:tcW w:w="892" w:type="dxa"/>
            <w:tcBorders>
              <w:top w:val="single" w:sz="2" w:space="0" w:color="FF777C"/>
              <w:left w:val="nil"/>
              <w:bottom w:val="nil"/>
              <w:right w:val="nil"/>
            </w:tcBorders>
            <w:tcMar>
              <w:top w:w="45" w:type="dxa"/>
              <w:left w:w="0" w:type="dxa"/>
              <w:bottom w:w="56" w:type="dxa"/>
              <w:right w:w="0" w:type="dxa"/>
            </w:tcMar>
            <w:vAlign w:val="bottom"/>
          </w:tcPr>
          <w:p w14:paraId="4D220D99" w14:textId="77777777" w:rsidR="0062640D" w:rsidRDefault="0062640D"/>
        </w:tc>
        <w:tc>
          <w:tcPr>
            <w:tcW w:w="892" w:type="dxa"/>
            <w:tcBorders>
              <w:top w:val="single" w:sz="2" w:space="0" w:color="FF777C"/>
              <w:left w:val="nil"/>
              <w:bottom w:val="nil"/>
              <w:right w:val="nil"/>
            </w:tcBorders>
            <w:tcMar>
              <w:top w:w="45" w:type="dxa"/>
              <w:left w:w="0" w:type="dxa"/>
              <w:bottom w:w="56" w:type="dxa"/>
              <w:right w:w="0" w:type="dxa"/>
            </w:tcMar>
            <w:vAlign w:val="bottom"/>
          </w:tcPr>
          <w:p w14:paraId="2E7097E0" w14:textId="77777777" w:rsidR="0062640D" w:rsidRDefault="0062640D"/>
        </w:tc>
        <w:tc>
          <w:tcPr>
            <w:tcW w:w="892" w:type="dxa"/>
            <w:tcBorders>
              <w:top w:val="single" w:sz="2" w:space="0" w:color="FF777C"/>
              <w:left w:val="nil"/>
              <w:bottom w:val="nil"/>
              <w:right w:val="nil"/>
            </w:tcBorders>
            <w:tcMar>
              <w:top w:w="45" w:type="dxa"/>
              <w:left w:w="0" w:type="dxa"/>
              <w:bottom w:w="56" w:type="dxa"/>
              <w:right w:w="0" w:type="dxa"/>
            </w:tcMar>
            <w:vAlign w:val="bottom"/>
          </w:tcPr>
          <w:p w14:paraId="307F386E" w14:textId="77777777" w:rsidR="0062640D" w:rsidRDefault="0062640D"/>
        </w:tc>
        <w:tc>
          <w:tcPr>
            <w:tcW w:w="892" w:type="dxa"/>
            <w:tcBorders>
              <w:top w:val="single" w:sz="2" w:space="0" w:color="FF777C"/>
              <w:left w:val="nil"/>
              <w:bottom w:val="nil"/>
              <w:right w:val="nil"/>
            </w:tcBorders>
            <w:tcMar>
              <w:top w:w="45" w:type="dxa"/>
              <w:left w:w="0" w:type="dxa"/>
              <w:bottom w:w="56" w:type="dxa"/>
              <w:right w:w="0" w:type="dxa"/>
            </w:tcMar>
            <w:vAlign w:val="bottom"/>
          </w:tcPr>
          <w:p w14:paraId="1BA49573" w14:textId="77777777" w:rsidR="0062640D" w:rsidRDefault="0062640D"/>
        </w:tc>
      </w:tr>
      <w:tr w:rsidR="0062640D" w14:paraId="2FD30C49" w14:textId="77777777">
        <w:tc>
          <w:tcPr>
            <w:tcW w:w="2892" w:type="dxa"/>
            <w:tcBorders>
              <w:top w:val="nil"/>
              <w:left w:val="nil"/>
              <w:bottom w:val="single" w:sz="6" w:space="0" w:color="FF777C"/>
              <w:right w:val="nil"/>
            </w:tcBorders>
            <w:tcMar>
              <w:top w:w="45" w:type="dxa"/>
              <w:left w:w="0" w:type="dxa"/>
              <w:bottom w:w="56" w:type="dxa"/>
              <w:right w:w="0" w:type="dxa"/>
            </w:tcMar>
            <w:vAlign w:val="bottom"/>
          </w:tcPr>
          <w:p w14:paraId="4BFFED5D" w14:textId="77777777" w:rsidR="0062640D" w:rsidRDefault="00C12A80">
            <w:pPr>
              <w:pStyle w:val="Heading-2"/>
            </w:pPr>
            <w:r>
              <w:t>Total assets excluding derivatives and deferred tax assets</w:t>
            </w:r>
          </w:p>
        </w:tc>
        <w:tc>
          <w:tcPr>
            <w:tcW w:w="892" w:type="dxa"/>
            <w:tcBorders>
              <w:top w:val="nil"/>
              <w:left w:val="nil"/>
              <w:bottom w:val="single" w:sz="6" w:space="0" w:color="FF777C"/>
              <w:right w:val="nil"/>
            </w:tcBorders>
            <w:tcMar>
              <w:top w:w="45" w:type="dxa"/>
              <w:left w:w="0" w:type="dxa"/>
              <w:bottom w:w="56" w:type="dxa"/>
              <w:right w:w="0" w:type="dxa"/>
            </w:tcMar>
            <w:vAlign w:val="bottom"/>
          </w:tcPr>
          <w:p w14:paraId="3441F6B5" w14:textId="4E7B01C3" w:rsidR="0062640D" w:rsidRDefault="00C12A80">
            <w:pPr>
              <w:pStyle w:val="AccountsBold"/>
            </w:pPr>
            <w:r>
              <w:t>1,450,26</w:t>
            </w:r>
            <w:r w:rsidR="00BD5A74">
              <w:t>5</w:t>
            </w:r>
          </w:p>
        </w:tc>
        <w:tc>
          <w:tcPr>
            <w:tcW w:w="892" w:type="dxa"/>
            <w:tcBorders>
              <w:top w:val="nil"/>
              <w:left w:val="nil"/>
              <w:bottom w:val="single" w:sz="6" w:space="0" w:color="FF777C"/>
              <w:right w:val="nil"/>
            </w:tcBorders>
            <w:tcMar>
              <w:top w:w="45" w:type="dxa"/>
              <w:left w:w="0" w:type="dxa"/>
              <w:bottom w:w="56" w:type="dxa"/>
              <w:right w:w="0" w:type="dxa"/>
            </w:tcMar>
            <w:vAlign w:val="bottom"/>
          </w:tcPr>
          <w:p w14:paraId="61A24323" w14:textId="77777777" w:rsidR="0062640D" w:rsidRDefault="00C12A80">
            <w:pPr>
              <w:pStyle w:val="AccountsBold"/>
            </w:pPr>
            <w:r>
              <w:t>1,064,957</w:t>
            </w:r>
          </w:p>
        </w:tc>
        <w:tc>
          <w:tcPr>
            <w:tcW w:w="892" w:type="dxa"/>
            <w:tcBorders>
              <w:top w:val="nil"/>
              <w:left w:val="nil"/>
              <w:bottom w:val="single" w:sz="6" w:space="0" w:color="FF777C"/>
              <w:right w:val="nil"/>
            </w:tcBorders>
            <w:tcMar>
              <w:top w:w="45" w:type="dxa"/>
              <w:left w:w="0" w:type="dxa"/>
              <w:bottom w:w="56" w:type="dxa"/>
              <w:right w:w="0" w:type="dxa"/>
            </w:tcMar>
            <w:vAlign w:val="bottom"/>
          </w:tcPr>
          <w:p w14:paraId="28F67733" w14:textId="77777777" w:rsidR="0062640D" w:rsidRDefault="00C12A80">
            <w:pPr>
              <w:pStyle w:val="AccountsBold"/>
            </w:pPr>
            <w:r>
              <w:t>112,327</w:t>
            </w:r>
          </w:p>
        </w:tc>
        <w:tc>
          <w:tcPr>
            <w:tcW w:w="892" w:type="dxa"/>
            <w:tcBorders>
              <w:top w:val="nil"/>
              <w:left w:val="nil"/>
              <w:bottom w:val="single" w:sz="6" w:space="0" w:color="FF777C"/>
              <w:right w:val="nil"/>
            </w:tcBorders>
            <w:tcMar>
              <w:top w:w="45" w:type="dxa"/>
              <w:left w:w="0" w:type="dxa"/>
              <w:bottom w:w="56" w:type="dxa"/>
              <w:right w:w="0" w:type="dxa"/>
            </w:tcMar>
            <w:vAlign w:val="bottom"/>
          </w:tcPr>
          <w:p w14:paraId="12479F12" w14:textId="77777777" w:rsidR="0062640D" w:rsidRDefault="00C12A80">
            <w:pPr>
              <w:pStyle w:val="AccountsBold"/>
            </w:pPr>
            <w:r>
              <w:t>2,627,549</w:t>
            </w:r>
          </w:p>
        </w:tc>
        <w:tc>
          <w:tcPr>
            <w:tcW w:w="60" w:type="dxa"/>
            <w:tcBorders>
              <w:top w:val="none" w:sz="8" w:space="0" w:color="auto"/>
              <w:left w:val="nil"/>
              <w:bottom w:val="none" w:sz="8" w:space="0" w:color="auto"/>
              <w:right w:val="nil"/>
            </w:tcBorders>
            <w:tcMar>
              <w:top w:w="45" w:type="dxa"/>
              <w:left w:w="0" w:type="dxa"/>
              <w:bottom w:w="56" w:type="dxa"/>
              <w:right w:w="0" w:type="dxa"/>
            </w:tcMar>
            <w:vAlign w:val="bottom"/>
          </w:tcPr>
          <w:p w14:paraId="60AE2A36" w14:textId="77777777" w:rsidR="0062640D" w:rsidRDefault="0062640D"/>
        </w:tc>
        <w:tc>
          <w:tcPr>
            <w:tcW w:w="892" w:type="dxa"/>
            <w:tcBorders>
              <w:top w:val="nil"/>
              <w:left w:val="nil"/>
              <w:bottom w:val="single" w:sz="6" w:space="0" w:color="FF777C"/>
              <w:right w:val="nil"/>
            </w:tcBorders>
            <w:tcMar>
              <w:top w:w="45" w:type="dxa"/>
              <w:left w:w="0" w:type="dxa"/>
              <w:bottom w:w="56" w:type="dxa"/>
              <w:right w:w="0" w:type="dxa"/>
            </w:tcMar>
            <w:vAlign w:val="bottom"/>
          </w:tcPr>
          <w:p w14:paraId="14964E0F" w14:textId="77777777" w:rsidR="0062640D" w:rsidRDefault="00C12A80">
            <w:pPr>
              <w:pStyle w:val="Accounts"/>
            </w:pPr>
            <w:r>
              <w:t>1,455,900</w:t>
            </w:r>
          </w:p>
        </w:tc>
        <w:tc>
          <w:tcPr>
            <w:tcW w:w="892" w:type="dxa"/>
            <w:tcBorders>
              <w:top w:val="nil"/>
              <w:left w:val="nil"/>
              <w:bottom w:val="single" w:sz="6" w:space="0" w:color="FF777C"/>
              <w:right w:val="nil"/>
            </w:tcBorders>
            <w:tcMar>
              <w:top w:w="45" w:type="dxa"/>
              <w:left w:w="0" w:type="dxa"/>
              <w:bottom w:w="56" w:type="dxa"/>
              <w:right w:w="0" w:type="dxa"/>
            </w:tcMar>
            <w:vAlign w:val="bottom"/>
          </w:tcPr>
          <w:p w14:paraId="653D5343" w14:textId="77777777" w:rsidR="0062640D" w:rsidRDefault="00C12A80">
            <w:pPr>
              <w:pStyle w:val="Accounts"/>
            </w:pPr>
            <w:r>
              <w:t>923,055</w:t>
            </w:r>
          </w:p>
        </w:tc>
        <w:tc>
          <w:tcPr>
            <w:tcW w:w="892" w:type="dxa"/>
            <w:tcBorders>
              <w:top w:val="nil"/>
              <w:left w:val="nil"/>
              <w:bottom w:val="single" w:sz="6" w:space="0" w:color="FF777C"/>
              <w:right w:val="nil"/>
            </w:tcBorders>
            <w:tcMar>
              <w:top w:w="45" w:type="dxa"/>
              <w:left w:w="0" w:type="dxa"/>
              <w:bottom w:w="56" w:type="dxa"/>
              <w:right w:w="0" w:type="dxa"/>
            </w:tcMar>
            <w:vAlign w:val="bottom"/>
          </w:tcPr>
          <w:p w14:paraId="7CB02BEB" w14:textId="77777777" w:rsidR="0062640D" w:rsidRDefault="00C12A80">
            <w:pPr>
              <w:pStyle w:val="Accounts"/>
            </w:pPr>
            <w:r>
              <w:t>118,418</w:t>
            </w:r>
          </w:p>
        </w:tc>
        <w:tc>
          <w:tcPr>
            <w:tcW w:w="892" w:type="dxa"/>
            <w:tcBorders>
              <w:top w:val="nil"/>
              <w:left w:val="nil"/>
              <w:bottom w:val="single" w:sz="6" w:space="0" w:color="FF777C"/>
              <w:right w:val="nil"/>
            </w:tcBorders>
            <w:tcMar>
              <w:top w:w="45" w:type="dxa"/>
              <w:left w:w="0" w:type="dxa"/>
              <w:bottom w:w="56" w:type="dxa"/>
              <w:right w:w="0" w:type="dxa"/>
            </w:tcMar>
            <w:vAlign w:val="bottom"/>
          </w:tcPr>
          <w:p w14:paraId="0D91DCDF" w14:textId="77777777" w:rsidR="0062640D" w:rsidRDefault="00C12A80">
            <w:pPr>
              <w:pStyle w:val="Accounts"/>
            </w:pPr>
            <w:r>
              <w:t>2,497,373</w:t>
            </w:r>
          </w:p>
        </w:tc>
      </w:tr>
      <w:tr w:rsidR="0062640D" w14:paraId="73457117" w14:textId="77777777">
        <w:tc>
          <w:tcPr>
            <w:tcW w:w="2892" w:type="dxa"/>
            <w:tcBorders>
              <w:top w:val="single" w:sz="6" w:space="0" w:color="FF777C"/>
              <w:left w:val="nil"/>
              <w:bottom w:val="nil"/>
              <w:right w:val="nil"/>
            </w:tcBorders>
            <w:tcMar>
              <w:top w:w="45" w:type="dxa"/>
              <w:left w:w="0" w:type="dxa"/>
              <w:bottom w:w="56" w:type="dxa"/>
              <w:right w:w="0" w:type="dxa"/>
            </w:tcMar>
            <w:vAlign w:val="bottom"/>
          </w:tcPr>
          <w:p w14:paraId="4E8B2BFA" w14:textId="77777777" w:rsidR="0062640D" w:rsidRDefault="0062640D"/>
        </w:tc>
        <w:tc>
          <w:tcPr>
            <w:tcW w:w="892" w:type="dxa"/>
            <w:tcBorders>
              <w:top w:val="single" w:sz="6" w:space="0" w:color="FF777C"/>
              <w:left w:val="nil"/>
              <w:bottom w:val="nil"/>
              <w:right w:val="nil"/>
            </w:tcBorders>
            <w:tcMar>
              <w:top w:w="45" w:type="dxa"/>
              <w:left w:w="0" w:type="dxa"/>
              <w:bottom w:w="56" w:type="dxa"/>
              <w:right w:w="0" w:type="dxa"/>
            </w:tcMar>
            <w:vAlign w:val="bottom"/>
          </w:tcPr>
          <w:p w14:paraId="4C22FF65" w14:textId="77777777" w:rsidR="0062640D" w:rsidRDefault="0062640D"/>
        </w:tc>
        <w:tc>
          <w:tcPr>
            <w:tcW w:w="892" w:type="dxa"/>
            <w:tcBorders>
              <w:top w:val="single" w:sz="6" w:space="0" w:color="FF777C"/>
              <w:left w:val="nil"/>
              <w:bottom w:val="nil"/>
              <w:right w:val="nil"/>
            </w:tcBorders>
            <w:tcMar>
              <w:top w:w="45" w:type="dxa"/>
              <w:left w:w="0" w:type="dxa"/>
              <w:bottom w:w="56" w:type="dxa"/>
              <w:right w:w="0" w:type="dxa"/>
            </w:tcMar>
            <w:vAlign w:val="bottom"/>
          </w:tcPr>
          <w:p w14:paraId="75AC9CE8" w14:textId="77777777" w:rsidR="0062640D" w:rsidRDefault="0062640D"/>
        </w:tc>
        <w:tc>
          <w:tcPr>
            <w:tcW w:w="892" w:type="dxa"/>
            <w:tcBorders>
              <w:top w:val="single" w:sz="6" w:space="0" w:color="FF777C"/>
              <w:left w:val="nil"/>
              <w:bottom w:val="nil"/>
              <w:right w:val="nil"/>
            </w:tcBorders>
            <w:tcMar>
              <w:top w:w="45" w:type="dxa"/>
              <w:left w:w="0" w:type="dxa"/>
              <w:bottom w:w="56" w:type="dxa"/>
              <w:right w:w="0" w:type="dxa"/>
            </w:tcMar>
            <w:vAlign w:val="bottom"/>
          </w:tcPr>
          <w:p w14:paraId="7A0C5A9A" w14:textId="77777777" w:rsidR="0062640D" w:rsidRDefault="0062640D"/>
        </w:tc>
        <w:tc>
          <w:tcPr>
            <w:tcW w:w="892" w:type="dxa"/>
            <w:tcBorders>
              <w:top w:val="single" w:sz="6" w:space="0" w:color="FF777C"/>
              <w:left w:val="nil"/>
              <w:bottom w:val="nil"/>
              <w:right w:val="nil"/>
            </w:tcBorders>
            <w:tcMar>
              <w:top w:w="45" w:type="dxa"/>
              <w:left w:w="0" w:type="dxa"/>
              <w:bottom w:w="56" w:type="dxa"/>
              <w:right w:w="0" w:type="dxa"/>
            </w:tcMar>
            <w:vAlign w:val="bottom"/>
          </w:tcPr>
          <w:p w14:paraId="46FCBC8F" w14:textId="77777777" w:rsidR="0062640D" w:rsidRDefault="0062640D"/>
        </w:tc>
        <w:tc>
          <w:tcPr>
            <w:tcW w:w="60" w:type="dxa"/>
            <w:tcBorders>
              <w:top w:val="none" w:sz="8" w:space="0" w:color="auto"/>
              <w:left w:val="nil"/>
              <w:bottom w:val="none" w:sz="8" w:space="0" w:color="auto"/>
              <w:right w:val="nil"/>
            </w:tcBorders>
            <w:tcMar>
              <w:top w:w="45" w:type="dxa"/>
              <w:left w:w="0" w:type="dxa"/>
              <w:bottom w:w="56" w:type="dxa"/>
              <w:right w:w="0" w:type="dxa"/>
            </w:tcMar>
            <w:vAlign w:val="bottom"/>
          </w:tcPr>
          <w:p w14:paraId="68DA821A" w14:textId="77777777" w:rsidR="0062640D" w:rsidRDefault="0062640D"/>
        </w:tc>
        <w:tc>
          <w:tcPr>
            <w:tcW w:w="892" w:type="dxa"/>
            <w:tcBorders>
              <w:top w:val="single" w:sz="6" w:space="0" w:color="FF777C"/>
              <w:left w:val="nil"/>
              <w:bottom w:val="nil"/>
              <w:right w:val="nil"/>
            </w:tcBorders>
            <w:tcMar>
              <w:top w:w="45" w:type="dxa"/>
              <w:left w:w="0" w:type="dxa"/>
              <w:bottom w:w="56" w:type="dxa"/>
              <w:right w:w="0" w:type="dxa"/>
            </w:tcMar>
            <w:vAlign w:val="bottom"/>
          </w:tcPr>
          <w:p w14:paraId="21BE1C94" w14:textId="77777777" w:rsidR="0062640D" w:rsidRDefault="0062640D"/>
        </w:tc>
        <w:tc>
          <w:tcPr>
            <w:tcW w:w="892" w:type="dxa"/>
            <w:tcBorders>
              <w:top w:val="single" w:sz="6" w:space="0" w:color="FF777C"/>
              <w:left w:val="nil"/>
              <w:bottom w:val="nil"/>
              <w:right w:val="nil"/>
            </w:tcBorders>
            <w:tcMar>
              <w:top w:w="45" w:type="dxa"/>
              <w:left w:w="0" w:type="dxa"/>
              <w:bottom w:w="56" w:type="dxa"/>
              <w:right w:w="0" w:type="dxa"/>
            </w:tcMar>
            <w:vAlign w:val="bottom"/>
          </w:tcPr>
          <w:p w14:paraId="155B1A48" w14:textId="77777777" w:rsidR="0062640D" w:rsidRDefault="0062640D"/>
        </w:tc>
        <w:tc>
          <w:tcPr>
            <w:tcW w:w="892" w:type="dxa"/>
            <w:tcBorders>
              <w:top w:val="single" w:sz="6" w:space="0" w:color="FF777C"/>
              <w:left w:val="nil"/>
              <w:bottom w:val="nil"/>
              <w:right w:val="nil"/>
            </w:tcBorders>
            <w:tcMar>
              <w:top w:w="45" w:type="dxa"/>
              <w:left w:w="0" w:type="dxa"/>
              <w:bottom w:w="56" w:type="dxa"/>
              <w:right w:w="0" w:type="dxa"/>
            </w:tcMar>
            <w:vAlign w:val="bottom"/>
          </w:tcPr>
          <w:p w14:paraId="630BFEB1" w14:textId="77777777" w:rsidR="0062640D" w:rsidRDefault="0062640D"/>
        </w:tc>
        <w:tc>
          <w:tcPr>
            <w:tcW w:w="892" w:type="dxa"/>
            <w:tcBorders>
              <w:top w:val="single" w:sz="6" w:space="0" w:color="FF777C"/>
              <w:left w:val="nil"/>
              <w:bottom w:val="nil"/>
              <w:right w:val="nil"/>
            </w:tcBorders>
            <w:tcMar>
              <w:top w:w="45" w:type="dxa"/>
              <w:left w:w="0" w:type="dxa"/>
              <w:bottom w:w="56" w:type="dxa"/>
              <w:right w:w="0" w:type="dxa"/>
            </w:tcMar>
            <w:vAlign w:val="bottom"/>
          </w:tcPr>
          <w:p w14:paraId="5E36B187" w14:textId="77777777" w:rsidR="0062640D" w:rsidRDefault="0062640D"/>
        </w:tc>
      </w:tr>
      <w:tr w:rsidR="0062640D" w14:paraId="5B59A6E5" w14:textId="77777777">
        <w:tc>
          <w:tcPr>
            <w:tcW w:w="2892" w:type="dxa"/>
            <w:tcBorders>
              <w:top w:val="nil"/>
              <w:left w:val="nil"/>
              <w:bottom w:val="nil"/>
              <w:right w:val="nil"/>
            </w:tcBorders>
            <w:tcMar>
              <w:top w:w="45" w:type="dxa"/>
              <w:left w:w="0" w:type="dxa"/>
              <w:bottom w:w="56" w:type="dxa"/>
              <w:right w:w="0" w:type="dxa"/>
            </w:tcMar>
            <w:vAlign w:val="bottom"/>
          </w:tcPr>
          <w:p w14:paraId="4A107285" w14:textId="77777777" w:rsidR="0062640D" w:rsidRDefault="00C12A80">
            <w:r>
              <w:t>Derivative assets</w:t>
            </w:r>
          </w:p>
        </w:tc>
        <w:tc>
          <w:tcPr>
            <w:tcW w:w="892" w:type="dxa"/>
            <w:tcBorders>
              <w:top w:val="nil"/>
              <w:left w:val="nil"/>
              <w:bottom w:val="nil"/>
              <w:right w:val="nil"/>
            </w:tcBorders>
            <w:tcMar>
              <w:top w:w="45" w:type="dxa"/>
              <w:left w:w="0" w:type="dxa"/>
              <w:bottom w:w="56" w:type="dxa"/>
              <w:right w:w="0" w:type="dxa"/>
            </w:tcMar>
            <w:vAlign w:val="bottom"/>
          </w:tcPr>
          <w:p w14:paraId="74063932" w14:textId="77777777" w:rsidR="0062640D" w:rsidRDefault="0062640D"/>
        </w:tc>
        <w:tc>
          <w:tcPr>
            <w:tcW w:w="892" w:type="dxa"/>
            <w:tcBorders>
              <w:top w:val="nil"/>
              <w:left w:val="nil"/>
              <w:bottom w:val="nil"/>
              <w:right w:val="nil"/>
            </w:tcBorders>
            <w:tcMar>
              <w:top w:w="45" w:type="dxa"/>
              <w:left w:w="0" w:type="dxa"/>
              <w:bottom w:w="56" w:type="dxa"/>
              <w:right w:w="0" w:type="dxa"/>
            </w:tcMar>
            <w:vAlign w:val="bottom"/>
          </w:tcPr>
          <w:p w14:paraId="2DCD2E0C" w14:textId="77777777" w:rsidR="0062640D" w:rsidRDefault="0062640D"/>
        </w:tc>
        <w:tc>
          <w:tcPr>
            <w:tcW w:w="892" w:type="dxa"/>
            <w:tcBorders>
              <w:top w:val="nil"/>
              <w:left w:val="nil"/>
              <w:bottom w:val="nil"/>
              <w:right w:val="nil"/>
            </w:tcBorders>
            <w:tcMar>
              <w:top w:w="45" w:type="dxa"/>
              <w:left w:w="0" w:type="dxa"/>
              <w:bottom w:w="56" w:type="dxa"/>
              <w:right w:w="0" w:type="dxa"/>
            </w:tcMar>
            <w:vAlign w:val="bottom"/>
          </w:tcPr>
          <w:p w14:paraId="336C5801" w14:textId="77777777" w:rsidR="0062640D" w:rsidRDefault="0062640D"/>
        </w:tc>
        <w:tc>
          <w:tcPr>
            <w:tcW w:w="892" w:type="dxa"/>
            <w:tcBorders>
              <w:top w:val="nil"/>
              <w:left w:val="nil"/>
              <w:bottom w:val="nil"/>
              <w:right w:val="nil"/>
            </w:tcBorders>
            <w:tcMar>
              <w:top w:w="45" w:type="dxa"/>
              <w:left w:w="0" w:type="dxa"/>
              <w:bottom w:w="56" w:type="dxa"/>
              <w:right w:w="0" w:type="dxa"/>
            </w:tcMar>
            <w:vAlign w:val="bottom"/>
          </w:tcPr>
          <w:p w14:paraId="5E78E971" w14:textId="77777777" w:rsidR="0062640D" w:rsidRDefault="00C12A80">
            <w:pPr>
              <w:pStyle w:val="AccountsBold"/>
            </w:pPr>
            <w:r>
              <w:t>-</w:t>
            </w:r>
          </w:p>
        </w:tc>
        <w:tc>
          <w:tcPr>
            <w:tcW w:w="60" w:type="dxa"/>
            <w:tcBorders>
              <w:top w:val="none" w:sz="8" w:space="0" w:color="auto"/>
              <w:left w:val="nil"/>
              <w:bottom w:val="none" w:sz="8" w:space="0" w:color="auto"/>
              <w:right w:val="nil"/>
            </w:tcBorders>
            <w:tcMar>
              <w:top w:w="45" w:type="dxa"/>
              <w:left w:w="0" w:type="dxa"/>
              <w:bottom w:w="56" w:type="dxa"/>
              <w:right w:w="0" w:type="dxa"/>
            </w:tcMar>
            <w:vAlign w:val="bottom"/>
          </w:tcPr>
          <w:p w14:paraId="5FA06E0A" w14:textId="77777777" w:rsidR="0062640D" w:rsidRDefault="0062640D"/>
        </w:tc>
        <w:tc>
          <w:tcPr>
            <w:tcW w:w="892" w:type="dxa"/>
            <w:tcBorders>
              <w:top w:val="nil"/>
              <w:left w:val="nil"/>
              <w:bottom w:val="nil"/>
              <w:right w:val="nil"/>
            </w:tcBorders>
            <w:tcMar>
              <w:top w:w="45" w:type="dxa"/>
              <w:left w:w="0" w:type="dxa"/>
              <w:bottom w:w="56" w:type="dxa"/>
              <w:right w:w="0" w:type="dxa"/>
            </w:tcMar>
            <w:vAlign w:val="bottom"/>
          </w:tcPr>
          <w:p w14:paraId="28AA553E" w14:textId="77777777" w:rsidR="0062640D" w:rsidRDefault="0062640D"/>
        </w:tc>
        <w:tc>
          <w:tcPr>
            <w:tcW w:w="892" w:type="dxa"/>
            <w:tcBorders>
              <w:top w:val="nil"/>
              <w:left w:val="nil"/>
              <w:bottom w:val="nil"/>
              <w:right w:val="nil"/>
            </w:tcBorders>
            <w:tcMar>
              <w:top w:w="45" w:type="dxa"/>
              <w:left w:w="0" w:type="dxa"/>
              <w:bottom w:w="56" w:type="dxa"/>
              <w:right w:w="0" w:type="dxa"/>
            </w:tcMar>
            <w:vAlign w:val="bottom"/>
          </w:tcPr>
          <w:p w14:paraId="2994FCAC" w14:textId="77777777" w:rsidR="0062640D" w:rsidRDefault="0062640D"/>
        </w:tc>
        <w:tc>
          <w:tcPr>
            <w:tcW w:w="892" w:type="dxa"/>
            <w:tcBorders>
              <w:top w:val="nil"/>
              <w:left w:val="nil"/>
              <w:bottom w:val="nil"/>
              <w:right w:val="nil"/>
            </w:tcBorders>
            <w:tcMar>
              <w:top w:w="45" w:type="dxa"/>
              <w:left w:w="0" w:type="dxa"/>
              <w:bottom w:w="56" w:type="dxa"/>
              <w:right w:w="0" w:type="dxa"/>
            </w:tcMar>
            <w:vAlign w:val="bottom"/>
          </w:tcPr>
          <w:p w14:paraId="53AE2175" w14:textId="77777777" w:rsidR="0062640D" w:rsidRDefault="0062640D"/>
        </w:tc>
        <w:tc>
          <w:tcPr>
            <w:tcW w:w="892" w:type="dxa"/>
            <w:tcBorders>
              <w:top w:val="nil"/>
              <w:left w:val="nil"/>
              <w:bottom w:val="nil"/>
              <w:right w:val="nil"/>
            </w:tcBorders>
            <w:tcMar>
              <w:top w:w="45" w:type="dxa"/>
              <w:left w:w="0" w:type="dxa"/>
              <w:bottom w:w="56" w:type="dxa"/>
              <w:right w:w="0" w:type="dxa"/>
            </w:tcMar>
            <w:vAlign w:val="bottom"/>
          </w:tcPr>
          <w:p w14:paraId="5A467093" w14:textId="77777777" w:rsidR="0062640D" w:rsidRDefault="00C12A80">
            <w:pPr>
              <w:pStyle w:val="Accounts"/>
            </w:pPr>
            <w:r>
              <w:t>6,521</w:t>
            </w:r>
          </w:p>
        </w:tc>
      </w:tr>
      <w:tr w:rsidR="0062640D" w14:paraId="476077F3" w14:textId="77777777">
        <w:tc>
          <w:tcPr>
            <w:tcW w:w="2892" w:type="dxa"/>
            <w:tcBorders>
              <w:top w:val="nil"/>
              <w:left w:val="nil"/>
              <w:bottom w:val="single" w:sz="2" w:space="0" w:color="FF777C"/>
              <w:right w:val="nil"/>
            </w:tcBorders>
            <w:tcMar>
              <w:top w:w="45" w:type="dxa"/>
              <w:left w:w="0" w:type="dxa"/>
              <w:bottom w:w="56" w:type="dxa"/>
              <w:right w:w="0" w:type="dxa"/>
            </w:tcMar>
            <w:vAlign w:val="bottom"/>
          </w:tcPr>
          <w:p w14:paraId="196483D3" w14:textId="77777777" w:rsidR="0062640D" w:rsidRDefault="00C12A80">
            <w:r>
              <w:t>Deferred tax assets</w:t>
            </w:r>
          </w:p>
        </w:tc>
        <w:tc>
          <w:tcPr>
            <w:tcW w:w="892" w:type="dxa"/>
            <w:tcBorders>
              <w:top w:val="nil"/>
              <w:left w:val="nil"/>
              <w:bottom w:val="single" w:sz="2" w:space="0" w:color="FF777C"/>
              <w:right w:val="nil"/>
            </w:tcBorders>
            <w:tcMar>
              <w:top w:w="45" w:type="dxa"/>
              <w:left w:w="0" w:type="dxa"/>
              <w:bottom w:w="56" w:type="dxa"/>
              <w:right w:w="0" w:type="dxa"/>
            </w:tcMar>
            <w:vAlign w:val="bottom"/>
          </w:tcPr>
          <w:p w14:paraId="4021E6F5" w14:textId="77777777" w:rsidR="0062640D" w:rsidRDefault="0062640D"/>
        </w:tc>
        <w:tc>
          <w:tcPr>
            <w:tcW w:w="892" w:type="dxa"/>
            <w:tcBorders>
              <w:top w:val="nil"/>
              <w:left w:val="nil"/>
              <w:bottom w:val="single" w:sz="2" w:space="0" w:color="FF777C"/>
              <w:right w:val="nil"/>
            </w:tcBorders>
            <w:tcMar>
              <w:top w:w="45" w:type="dxa"/>
              <w:left w:w="0" w:type="dxa"/>
              <w:bottom w:w="56" w:type="dxa"/>
              <w:right w:w="0" w:type="dxa"/>
            </w:tcMar>
            <w:vAlign w:val="bottom"/>
          </w:tcPr>
          <w:p w14:paraId="6FA60C68" w14:textId="77777777" w:rsidR="0062640D" w:rsidRDefault="0062640D"/>
        </w:tc>
        <w:tc>
          <w:tcPr>
            <w:tcW w:w="892" w:type="dxa"/>
            <w:tcBorders>
              <w:top w:val="nil"/>
              <w:left w:val="nil"/>
              <w:bottom w:val="single" w:sz="2" w:space="0" w:color="FF777C"/>
              <w:right w:val="nil"/>
            </w:tcBorders>
            <w:tcMar>
              <w:top w:w="45" w:type="dxa"/>
              <w:left w:w="0" w:type="dxa"/>
              <w:bottom w:w="56" w:type="dxa"/>
              <w:right w:w="0" w:type="dxa"/>
            </w:tcMar>
            <w:vAlign w:val="bottom"/>
          </w:tcPr>
          <w:p w14:paraId="5036F5F4" w14:textId="77777777" w:rsidR="0062640D" w:rsidRDefault="0062640D"/>
        </w:tc>
        <w:tc>
          <w:tcPr>
            <w:tcW w:w="892" w:type="dxa"/>
            <w:tcBorders>
              <w:top w:val="nil"/>
              <w:left w:val="nil"/>
              <w:bottom w:val="single" w:sz="2" w:space="0" w:color="FF777C"/>
              <w:right w:val="nil"/>
            </w:tcBorders>
            <w:tcMar>
              <w:top w:w="45" w:type="dxa"/>
              <w:left w:w="0" w:type="dxa"/>
              <w:bottom w:w="56" w:type="dxa"/>
              <w:right w:w="0" w:type="dxa"/>
            </w:tcMar>
            <w:vAlign w:val="bottom"/>
          </w:tcPr>
          <w:p w14:paraId="67867B5D" w14:textId="77777777" w:rsidR="0062640D" w:rsidRDefault="00C12A80">
            <w:pPr>
              <w:pStyle w:val="AccountsBold"/>
            </w:pPr>
            <w:r>
              <w:t>33,100</w:t>
            </w:r>
          </w:p>
        </w:tc>
        <w:tc>
          <w:tcPr>
            <w:tcW w:w="60" w:type="dxa"/>
            <w:tcBorders>
              <w:top w:val="none" w:sz="8" w:space="0" w:color="auto"/>
              <w:left w:val="nil"/>
              <w:bottom w:val="none" w:sz="8" w:space="0" w:color="auto"/>
              <w:right w:val="nil"/>
            </w:tcBorders>
            <w:tcMar>
              <w:top w:w="45" w:type="dxa"/>
              <w:left w:w="0" w:type="dxa"/>
              <w:bottom w:w="56" w:type="dxa"/>
              <w:right w:w="0" w:type="dxa"/>
            </w:tcMar>
            <w:vAlign w:val="bottom"/>
          </w:tcPr>
          <w:p w14:paraId="2D3783F1" w14:textId="77777777" w:rsidR="0062640D" w:rsidRDefault="0062640D"/>
        </w:tc>
        <w:tc>
          <w:tcPr>
            <w:tcW w:w="892" w:type="dxa"/>
            <w:tcBorders>
              <w:top w:val="nil"/>
              <w:left w:val="nil"/>
              <w:bottom w:val="single" w:sz="2" w:space="0" w:color="FF777C"/>
              <w:right w:val="nil"/>
            </w:tcBorders>
            <w:tcMar>
              <w:top w:w="45" w:type="dxa"/>
              <w:left w:w="0" w:type="dxa"/>
              <w:bottom w:w="56" w:type="dxa"/>
              <w:right w:w="0" w:type="dxa"/>
            </w:tcMar>
            <w:vAlign w:val="bottom"/>
          </w:tcPr>
          <w:p w14:paraId="45CD7045" w14:textId="77777777" w:rsidR="0062640D" w:rsidRDefault="0062640D"/>
        </w:tc>
        <w:tc>
          <w:tcPr>
            <w:tcW w:w="892" w:type="dxa"/>
            <w:tcBorders>
              <w:top w:val="nil"/>
              <w:left w:val="nil"/>
              <w:bottom w:val="single" w:sz="2" w:space="0" w:color="FF777C"/>
              <w:right w:val="nil"/>
            </w:tcBorders>
            <w:tcMar>
              <w:top w:w="45" w:type="dxa"/>
              <w:left w:w="0" w:type="dxa"/>
              <w:bottom w:w="56" w:type="dxa"/>
              <w:right w:w="0" w:type="dxa"/>
            </w:tcMar>
            <w:vAlign w:val="bottom"/>
          </w:tcPr>
          <w:p w14:paraId="7558D7FC" w14:textId="77777777" w:rsidR="0062640D" w:rsidRDefault="0062640D"/>
        </w:tc>
        <w:tc>
          <w:tcPr>
            <w:tcW w:w="892" w:type="dxa"/>
            <w:tcBorders>
              <w:top w:val="nil"/>
              <w:left w:val="nil"/>
              <w:bottom w:val="single" w:sz="2" w:space="0" w:color="FF777C"/>
              <w:right w:val="nil"/>
            </w:tcBorders>
            <w:tcMar>
              <w:top w:w="45" w:type="dxa"/>
              <w:left w:w="0" w:type="dxa"/>
              <w:bottom w:w="56" w:type="dxa"/>
              <w:right w:w="0" w:type="dxa"/>
            </w:tcMar>
            <w:vAlign w:val="bottom"/>
          </w:tcPr>
          <w:p w14:paraId="6C62E557" w14:textId="77777777" w:rsidR="0062640D" w:rsidRDefault="0062640D"/>
        </w:tc>
        <w:tc>
          <w:tcPr>
            <w:tcW w:w="892" w:type="dxa"/>
            <w:tcBorders>
              <w:top w:val="nil"/>
              <w:left w:val="nil"/>
              <w:bottom w:val="single" w:sz="2" w:space="0" w:color="FF777C"/>
              <w:right w:val="nil"/>
            </w:tcBorders>
            <w:tcMar>
              <w:top w:w="45" w:type="dxa"/>
              <w:left w:w="0" w:type="dxa"/>
              <w:bottom w:w="56" w:type="dxa"/>
              <w:right w:w="0" w:type="dxa"/>
            </w:tcMar>
            <w:vAlign w:val="bottom"/>
          </w:tcPr>
          <w:p w14:paraId="2905321E" w14:textId="77777777" w:rsidR="0062640D" w:rsidRDefault="00C12A80">
            <w:pPr>
              <w:pStyle w:val="Accounts"/>
            </w:pPr>
            <w:r>
              <w:t>24,136</w:t>
            </w:r>
          </w:p>
        </w:tc>
      </w:tr>
      <w:tr w:rsidR="0062640D" w14:paraId="715F0959" w14:textId="77777777">
        <w:tc>
          <w:tcPr>
            <w:tcW w:w="2892" w:type="dxa"/>
            <w:tcBorders>
              <w:top w:val="single" w:sz="2" w:space="0" w:color="FF777C"/>
              <w:left w:val="nil"/>
              <w:bottom w:val="nil"/>
              <w:right w:val="nil"/>
            </w:tcBorders>
            <w:tcMar>
              <w:top w:w="0" w:type="dxa"/>
              <w:left w:w="0" w:type="dxa"/>
              <w:bottom w:w="0" w:type="dxa"/>
              <w:right w:w="0" w:type="dxa"/>
            </w:tcMar>
            <w:vAlign w:val="bottom"/>
          </w:tcPr>
          <w:p w14:paraId="5AE670F4" w14:textId="77777777" w:rsidR="0062640D" w:rsidRDefault="0062640D"/>
        </w:tc>
        <w:tc>
          <w:tcPr>
            <w:tcW w:w="892" w:type="dxa"/>
            <w:tcBorders>
              <w:top w:val="single" w:sz="2" w:space="0" w:color="FF777C"/>
              <w:left w:val="nil"/>
              <w:bottom w:val="nil"/>
              <w:right w:val="nil"/>
            </w:tcBorders>
            <w:tcMar>
              <w:top w:w="0" w:type="dxa"/>
              <w:left w:w="0" w:type="dxa"/>
              <w:bottom w:w="0" w:type="dxa"/>
              <w:right w:w="0" w:type="dxa"/>
            </w:tcMar>
            <w:vAlign w:val="bottom"/>
          </w:tcPr>
          <w:p w14:paraId="55882C03" w14:textId="77777777" w:rsidR="0062640D" w:rsidRDefault="0062640D"/>
        </w:tc>
        <w:tc>
          <w:tcPr>
            <w:tcW w:w="892" w:type="dxa"/>
            <w:tcBorders>
              <w:top w:val="single" w:sz="2" w:space="0" w:color="FF777C"/>
              <w:left w:val="nil"/>
              <w:bottom w:val="nil"/>
              <w:right w:val="nil"/>
            </w:tcBorders>
            <w:tcMar>
              <w:top w:w="0" w:type="dxa"/>
              <w:left w:w="0" w:type="dxa"/>
              <w:bottom w:w="0" w:type="dxa"/>
              <w:right w:w="0" w:type="dxa"/>
            </w:tcMar>
            <w:vAlign w:val="bottom"/>
          </w:tcPr>
          <w:p w14:paraId="640D5417" w14:textId="77777777" w:rsidR="0062640D" w:rsidRDefault="0062640D"/>
        </w:tc>
        <w:tc>
          <w:tcPr>
            <w:tcW w:w="892" w:type="dxa"/>
            <w:tcBorders>
              <w:top w:val="single" w:sz="2" w:space="0" w:color="FF777C"/>
              <w:left w:val="nil"/>
              <w:bottom w:val="nil"/>
              <w:right w:val="nil"/>
            </w:tcBorders>
            <w:tcMar>
              <w:top w:w="0" w:type="dxa"/>
              <w:left w:w="0" w:type="dxa"/>
              <w:bottom w:w="0" w:type="dxa"/>
              <w:right w:w="0" w:type="dxa"/>
            </w:tcMar>
            <w:vAlign w:val="bottom"/>
          </w:tcPr>
          <w:p w14:paraId="6E5FF0DC" w14:textId="77777777" w:rsidR="0062640D" w:rsidRDefault="0062640D"/>
        </w:tc>
        <w:tc>
          <w:tcPr>
            <w:tcW w:w="892" w:type="dxa"/>
            <w:tcBorders>
              <w:top w:val="single" w:sz="2" w:space="0" w:color="FF777C"/>
              <w:left w:val="nil"/>
              <w:bottom w:val="nil"/>
              <w:right w:val="nil"/>
            </w:tcBorders>
            <w:tcMar>
              <w:top w:w="0" w:type="dxa"/>
              <w:left w:w="0" w:type="dxa"/>
              <w:bottom w:w="0" w:type="dxa"/>
              <w:right w:w="0" w:type="dxa"/>
            </w:tcMar>
            <w:vAlign w:val="bottom"/>
          </w:tcPr>
          <w:p w14:paraId="71A82772" w14:textId="77777777" w:rsidR="0062640D" w:rsidRDefault="0062640D"/>
        </w:tc>
        <w:tc>
          <w:tcPr>
            <w:tcW w:w="60" w:type="dxa"/>
            <w:tcBorders>
              <w:top w:val="none" w:sz="8" w:space="0" w:color="auto"/>
              <w:left w:val="nil"/>
              <w:bottom w:val="none" w:sz="8" w:space="0" w:color="auto"/>
              <w:right w:val="nil"/>
            </w:tcBorders>
            <w:tcMar>
              <w:top w:w="0" w:type="dxa"/>
              <w:left w:w="0" w:type="dxa"/>
              <w:bottom w:w="0" w:type="dxa"/>
              <w:right w:w="0" w:type="dxa"/>
            </w:tcMar>
            <w:vAlign w:val="bottom"/>
          </w:tcPr>
          <w:p w14:paraId="5AFE4676" w14:textId="77777777" w:rsidR="0062640D" w:rsidRDefault="0062640D"/>
        </w:tc>
        <w:tc>
          <w:tcPr>
            <w:tcW w:w="892" w:type="dxa"/>
            <w:tcBorders>
              <w:top w:val="single" w:sz="2" w:space="0" w:color="FF777C"/>
              <w:left w:val="nil"/>
              <w:bottom w:val="nil"/>
              <w:right w:val="nil"/>
            </w:tcBorders>
            <w:tcMar>
              <w:top w:w="0" w:type="dxa"/>
              <w:left w:w="0" w:type="dxa"/>
              <w:bottom w:w="0" w:type="dxa"/>
              <w:right w:w="0" w:type="dxa"/>
            </w:tcMar>
            <w:vAlign w:val="bottom"/>
          </w:tcPr>
          <w:p w14:paraId="67E1F50E" w14:textId="77777777" w:rsidR="0062640D" w:rsidRDefault="0062640D"/>
        </w:tc>
        <w:tc>
          <w:tcPr>
            <w:tcW w:w="892" w:type="dxa"/>
            <w:tcBorders>
              <w:top w:val="single" w:sz="2" w:space="0" w:color="FF777C"/>
              <w:left w:val="nil"/>
              <w:bottom w:val="nil"/>
              <w:right w:val="nil"/>
            </w:tcBorders>
            <w:tcMar>
              <w:top w:w="0" w:type="dxa"/>
              <w:left w:w="0" w:type="dxa"/>
              <w:bottom w:w="0" w:type="dxa"/>
              <w:right w:w="0" w:type="dxa"/>
            </w:tcMar>
            <w:vAlign w:val="bottom"/>
          </w:tcPr>
          <w:p w14:paraId="62831245" w14:textId="77777777" w:rsidR="0062640D" w:rsidRDefault="0062640D"/>
        </w:tc>
        <w:tc>
          <w:tcPr>
            <w:tcW w:w="892" w:type="dxa"/>
            <w:tcBorders>
              <w:top w:val="single" w:sz="2" w:space="0" w:color="FF777C"/>
              <w:left w:val="nil"/>
              <w:bottom w:val="nil"/>
              <w:right w:val="nil"/>
            </w:tcBorders>
            <w:tcMar>
              <w:top w:w="0" w:type="dxa"/>
              <w:left w:w="0" w:type="dxa"/>
              <w:bottom w:w="0" w:type="dxa"/>
              <w:right w:w="0" w:type="dxa"/>
            </w:tcMar>
            <w:vAlign w:val="bottom"/>
          </w:tcPr>
          <w:p w14:paraId="5960C864" w14:textId="77777777" w:rsidR="0062640D" w:rsidRDefault="0062640D"/>
        </w:tc>
        <w:tc>
          <w:tcPr>
            <w:tcW w:w="892" w:type="dxa"/>
            <w:tcBorders>
              <w:top w:val="single" w:sz="2" w:space="0" w:color="FF777C"/>
              <w:left w:val="nil"/>
              <w:bottom w:val="nil"/>
              <w:right w:val="nil"/>
            </w:tcBorders>
            <w:tcMar>
              <w:top w:w="0" w:type="dxa"/>
              <w:left w:w="0" w:type="dxa"/>
              <w:bottom w:w="0" w:type="dxa"/>
              <w:right w:w="0" w:type="dxa"/>
            </w:tcMar>
            <w:vAlign w:val="bottom"/>
          </w:tcPr>
          <w:p w14:paraId="70F490AC" w14:textId="77777777" w:rsidR="0062640D" w:rsidRDefault="0062640D"/>
        </w:tc>
      </w:tr>
      <w:tr w:rsidR="0062640D" w14:paraId="68FC0018" w14:textId="77777777">
        <w:tc>
          <w:tcPr>
            <w:tcW w:w="2892" w:type="dxa"/>
            <w:tcBorders>
              <w:top w:val="nil"/>
              <w:left w:val="nil"/>
              <w:bottom w:val="single" w:sz="6" w:space="0" w:color="FF777C"/>
              <w:right w:val="nil"/>
            </w:tcBorders>
            <w:tcMar>
              <w:top w:w="45" w:type="dxa"/>
              <w:left w:w="0" w:type="dxa"/>
              <w:bottom w:w="56" w:type="dxa"/>
              <w:right w:w="0" w:type="dxa"/>
            </w:tcMar>
            <w:vAlign w:val="bottom"/>
          </w:tcPr>
          <w:p w14:paraId="65F686B4" w14:textId="77777777" w:rsidR="0062640D" w:rsidRDefault="00C12A80">
            <w:pPr>
              <w:pStyle w:val="Heading-2"/>
            </w:pPr>
            <w:r>
              <w:t>Total assets</w:t>
            </w:r>
          </w:p>
        </w:tc>
        <w:tc>
          <w:tcPr>
            <w:tcW w:w="892" w:type="dxa"/>
            <w:tcBorders>
              <w:top w:val="nil"/>
              <w:left w:val="nil"/>
              <w:bottom w:val="single" w:sz="6" w:space="0" w:color="FF777C"/>
              <w:right w:val="nil"/>
            </w:tcBorders>
            <w:tcMar>
              <w:top w:w="45" w:type="dxa"/>
              <w:left w:w="0" w:type="dxa"/>
              <w:bottom w:w="56" w:type="dxa"/>
              <w:right w:w="0" w:type="dxa"/>
            </w:tcMar>
            <w:vAlign w:val="bottom"/>
          </w:tcPr>
          <w:p w14:paraId="3D9A8C78" w14:textId="77777777" w:rsidR="0062640D" w:rsidRDefault="0062640D"/>
        </w:tc>
        <w:tc>
          <w:tcPr>
            <w:tcW w:w="892" w:type="dxa"/>
            <w:tcBorders>
              <w:top w:val="nil"/>
              <w:left w:val="nil"/>
              <w:bottom w:val="single" w:sz="6" w:space="0" w:color="FF777C"/>
              <w:right w:val="nil"/>
            </w:tcBorders>
            <w:tcMar>
              <w:top w:w="45" w:type="dxa"/>
              <w:left w:w="0" w:type="dxa"/>
              <w:bottom w:w="56" w:type="dxa"/>
              <w:right w:w="0" w:type="dxa"/>
            </w:tcMar>
            <w:vAlign w:val="bottom"/>
          </w:tcPr>
          <w:p w14:paraId="6D0BB2B4" w14:textId="77777777" w:rsidR="0062640D" w:rsidRDefault="0062640D"/>
        </w:tc>
        <w:tc>
          <w:tcPr>
            <w:tcW w:w="892" w:type="dxa"/>
            <w:tcBorders>
              <w:top w:val="nil"/>
              <w:left w:val="nil"/>
              <w:bottom w:val="single" w:sz="6" w:space="0" w:color="FF777C"/>
              <w:right w:val="nil"/>
            </w:tcBorders>
            <w:tcMar>
              <w:top w:w="45" w:type="dxa"/>
              <w:left w:w="0" w:type="dxa"/>
              <w:bottom w:w="56" w:type="dxa"/>
              <w:right w:w="0" w:type="dxa"/>
            </w:tcMar>
            <w:vAlign w:val="bottom"/>
          </w:tcPr>
          <w:p w14:paraId="74D39ECB" w14:textId="77777777" w:rsidR="0062640D" w:rsidRDefault="0062640D"/>
        </w:tc>
        <w:tc>
          <w:tcPr>
            <w:tcW w:w="892" w:type="dxa"/>
            <w:tcBorders>
              <w:top w:val="nil"/>
              <w:left w:val="nil"/>
              <w:bottom w:val="single" w:sz="6" w:space="0" w:color="FF777C"/>
              <w:right w:val="nil"/>
            </w:tcBorders>
            <w:tcMar>
              <w:top w:w="45" w:type="dxa"/>
              <w:left w:w="0" w:type="dxa"/>
              <w:bottom w:w="56" w:type="dxa"/>
              <w:right w:w="0" w:type="dxa"/>
            </w:tcMar>
            <w:vAlign w:val="bottom"/>
          </w:tcPr>
          <w:p w14:paraId="757FD83D" w14:textId="77777777" w:rsidR="0062640D" w:rsidRDefault="00C12A80">
            <w:pPr>
              <w:pStyle w:val="AccountsBold"/>
            </w:pPr>
            <w:r>
              <w:t>2,660,649</w:t>
            </w:r>
          </w:p>
        </w:tc>
        <w:tc>
          <w:tcPr>
            <w:tcW w:w="60" w:type="dxa"/>
            <w:tcBorders>
              <w:top w:val="none" w:sz="8" w:space="0" w:color="auto"/>
              <w:left w:val="nil"/>
              <w:bottom w:val="none" w:sz="8" w:space="0" w:color="auto"/>
              <w:right w:val="nil"/>
            </w:tcBorders>
            <w:tcMar>
              <w:top w:w="45" w:type="dxa"/>
              <w:left w:w="0" w:type="dxa"/>
              <w:bottom w:w="56" w:type="dxa"/>
              <w:right w:w="0" w:type="dxa"/>
            </w:tcMar>
            <w:vAlign w:val="bottom"/>
          </w:tcPr>
          <w:p w14:paraId="44979E29" w14:textId="77777777" w:rsidR="0062640D" w:rsidRDefault="0062640D"/>
        </w:tc>
        <w:tc>
          <w:tcPr>
            <w:tcW w:w="892" w:type="dxa"/>
            <w:tcBorders>
              <w:top w:val="nil"/>
              <w:left w:val="nil"/>
              <w:bottom w:val="single" w:sz="6" w:space="0" w:color="FF777C"/>
              <w:right w:val="nil"/>
            </w:tcBorders>
            <w:tcMar>
              <w:top w:w="45" w:type="dxa"/>
              <w:left w:w="0" w:type="dxa"/>
              <w:bottom w:w="56" w:type="dxa"/>
              <w:right w:w="0" w:type="dxa"/>
            </w:tcMar>
            <w:vAlign w:val="bottom"/>
          </w:tcPr>
          <w:p w14:paraId="079B6A6F" w14:textId="77777777" w:rsidR="0062640D" w:rsidRDefault="0062640D"/>
        </w:tc>
        <w:tc>
          <w:tcPr>
            <w:tcW w:w="892" w:type="dxa"/>
            <w:tcBorders>
              <w:top w:val="nil"/>
              <w:left w:val="nil"/>
              <w:bottom w:val="single" w:sz="6" w:space="0" w:color="FF777C"/>
              <w:right w:val="nil"/>
            </w:tcBorders>
            <w:tcMar>
              <w:top w:w="45" w:type="dxa"/>
              <w:left w:w="0" w:type="dxa"/>
              <w:bottom w:w="56" w:type="dxa"/>
              <w:right w:w="0" w:type="dxa"/>
            </w:tcMar>
            <w:vAlign w:val="bottom"/>
          </w:tcPr>
          <w:p w14:paraId="704EC823" w14:textId="77777777" w:rsidR="0062640D" w:rsidRDefault="0062640D"/>
        </w:tc>
        <w:tc>
          <w:tcPr>
            <w:tcW w:w="892" w:type="dxa"/>
            <w:tcBorders>
              <w:top w:val="nil"/>
              <w:left w:val="nil"/>
              <w:bottom w:val="single" w:sz="6" w:space="0" w:color="FF777C"/>
              <w:right w:val="nil"/>
            </w:tcBorders>
            <w:tcMar>
              <w:top w:w="45" w:type="dxa"/>
              <w:left w:w="0" w:type="dxa"/>
              <w:bottom w:w="56" w:type="dxa"/>
              <w:right w:w="0" w:type="dxa"/>
            </w:tcMar>
            <w:vAlign w:val="bottom"/>
          </w:tcPr>
          <w:p w14:paraId="1960E02D" w14:textId="77777777" w:rsidR="0062640D" w:rsidRDefault="0062640D"/>
        </w:tc>
        <w:tc>
          <w:tcPr>
            <w:tcW w:w="892" w:type="dxa"/>
            <w:tcBorders>
              <w:top w:val="nil"/>
              <w:left w:val="nil"/>
              <w:bottom w:val="single" w:sz="6" w:space="0" w:color="FF777C"/>
              <w:right w:val="nil"/>
            </w:tcBorders>
            <w:tcMar>
              <w:top w:w="45" w:type="dxa"/>
              <w:left w:w="0" w:type="dxa"/>
              <w:bottom w:w="56" w:type="dxa"/>
              <w:right w:w="0" w:type="dxa"/>
            </w:tcMar>
            <w:vAlign w:val="bottom"/>
          </w:tcPr>
          <w:p w14:paraId="3484E2C2" w14:textId="77777777" w:rsidR="0062640D" w:rsidRDefault="00C12A80">
            <w:pPr>
              <w:pStyle w:val="Accounts"/>
            </w:pPr>
            <w:r>
              <w:t>2,528,030</w:t>
            </w:r>
          </w:p>
        </w:tc>
      </w:tr>
      <w:tr w:rsidR="0062640D" w14:paraId="2E7692BA" w14:textId="77777777">
        <w:tc>
          <w:tcPr>
            <w:tcW w:w="2892" w:type="dxa"/>
            <w:tcBorders>
              <w:top w:val="single" w:sz="6" w:space="0" w:color="FF777C"/>
              <w:left w:val="nil"/>
              <w:bottom w:val="nil"/>
              <w:right w:val="nil"/>
            </w:tcBorders>
            <w:tcMar>
              <w:top w:w="45" w:type="dxa"/>
              <w:left w:w="0" w:type="dxa"/>
              <w:bottom w:w="56" w:type="dxa"/>
              <w:right w:w="0" w:type="dxa"/>
            </w:tcMar>
            <w:vAlign w:val="bottom"/>
          </w:tcPr>
          <w:p w14:paraId="269C8DD5" w14:textId="77777777" w:rsidR="0062640D" w:rsidRDefault="0062640D"/>
        </w:tc>
        <w:tc>
          <w:tcPr>
            <w:tcW w:w="892" w:type="dxa"/>
            <w:tcBorders>
              <w:top w:val="single" w:sz="6" w:space="0" w:color="FF777C"/>
              <w:left w:val="nil"/>
              <w:bottom w:val="nil"/>
              <w:right w:val="nil"/>
            </w:tcBorders>
            <w:tcMar>
              <w:top w:w="45" w:type="dxa"/>
              <w:left w:w="0" w:type="dxa"/>
              <w:bottom w:w="56" w:type="dxa"/>
              <w:right w:w="0" w:type="dxa"/>
            </w:tcMar>
            <w:vAlign w:val="bottom"/>
          </w:tcPr>
          <w:p w14:paraId="5EF9FA8B" w14:textId="77777777" w:rsidR="0062640D" w:rsidRDefault="0062640D"/>
        </w:tc>
        <w:tc>
          <w:tcPr>
            <w:tcW w:w="892" w:type="dxa"/>
            <w:tcBorders>
              <w:top w:val="single" w:sz="6" w:space="0" w:color="FF777C"/>
              <w:left w:val="nil"/>
              <w:bottom w:val="nil"/>
              <w:right w:val="nil"/>
            </w:tcBorders>
            <w:tcMar>
              <w:top w:w="45" w:type="dxa"/>
              <w:left w:w="0" w:type="dxa"/>
              <w:bottom w:w="56" w:type="dxa"/>
              <w:right w:w="0" w:type="dxa"/>
            </w:tcMar>
            <w:vAlign w:val="bottom"/>
          </w:tcPr>
          <w:p w14:paraId="370DA25A" w14:textId="77777777" w:rsidR="0062640D" w:rsidRDefault="0062640D"/>
        </w:tc>
        <w:tc>
          <w:tcPr>
            <w:tcW w:w="892" w:type="dxa"/>
            <w:tcBorders>
              <w:top w:val="single" w:sz="6" w:space="0" w:color="FF777C"/>
              <w:left w:val="nil"/>
              <w:bottom w:val="nil"/>
              <w:right w:val="nil"/>
            </w:tcBorders>
            <w:tcMar>
              <w:top w:w="45" w:type="dxa"/>
              <w:left w:w="0" w:type="dxa"/>
              <w:bottom w:w="56" w:type="dxa"/>
              <w:right w:w="0" w:type="dxa"/>
            </w:tcMar>
            <w:vAlign w:val="bottom"/>
          </w:tcPr>
          <w:p w14:paraId="211A3A34" w14:textId="77777777" w:rsidR="0062640D" w:rsidRDefault="0062640D"/>
        </w:tc>
        <w:tc>
          <w:tcPr>
            <w:tcW w:w="892" w:type="dxa"/>
            <w:tcBorders>
              <w:top w:val="single" w:sz="6" w:space="0" w:color="FF777C"/>
              <w:left w:val="nil"/>
              <w:bottom w:val="nil"/>
              <w:right w:val="nil"/>
            </w:tcBorders>
            <w:tcMar>
              <w:top w:w="45" w:type="dxa"/>
              <w:left w:w="0" w:type="dxa"/>
              <w:bottom w:w="56" w:type="dxa"/>
              <w:right w:w="0" w:type="dxa"/>
            </w:tcMar>
            <w:vAlign w:val="bottom"/>
          </w:tcPr>
          <w:p w14:paraId="063798C3" w14:textId="77777777" w:rsidR="0062640D" w:rsidRDefault="0062640D"/>
        </w:tc>
        <w:tc>
          <w:tcPr>
            <w:tcW w:w="60" w:type="dxa"/>
            <w:tcBorders>
              <w:top w:val="none" w:sz="8" w:space="0" w:color="auto"/>
              <w:left w:val="nil"/>
              <w:bottom w:val="none" w:sz="8" w:space="0" w:color="auto"/>
              <w:right w:val="nil"/>
            </w:tcBorders>
            <w:tcMar>
              <w:top w:w="45" w:type="dxa"/>
              <w:left w:w="0" w:type="dxa"/>
              <w:bottom w:w="56" w:type="dxa"/>
              <w:right w:w="0" w:type="dxa"/>
            </w:tcMar>
            <w:vAlign w:val="bottom"/>
          </w:tcPr>
          <w:p w14:paraId="1DEC2957" w14:textId="77777777" w:rsidR="0062640D" w:rsidRDefault="0062640D"/>
        </w:tc>
        <w:tc>
          <w:tcPr>
            <w:tcW w:w="892" w:type="dxa"/>
            <w:tcBorders>
              <w:top w:val="single" w:sz="6" w:space="0" w:color="FF777C"/>
              <w:left w:val="nil"/>
              <w:bottom w:val="nil"/>
              <w:right w:val="nil"/>
            </w:tcBorders>
            <w:tcMar>
              <w:top w:w="45" w:type="dxa"/>
              <w:left w:w="0" w:type="dxa"/>
              <w:bottom w:w="56" w:type="dxa"/>
              <w:right w:w="0" w:type="dxa"/>
            </w:tcMar>
            <w:vAlign w:val="bottom"/>
          </w:tcPr>
          <w:p w14:paraId="07FAA070" w14:textId="77777777" w:rsidR="0062640D" w:rsidRDefault="0062640D"/>
        </w:tc>
        <w:tc>
          <w:tcPr>
            <w:tcW w:w="892" w:type="dxa"/>
            <w:tcBorders>
              <w:top w:val="single" w:sz="6" w:space="0" w:color="FF777C"/>
              <w:left w:val="nil"/>
              <w:bottom w:val="nil"/>
              <w:right w:val="nil"/>
            </w:tcBorders>
            <w:tcMar>
              <w:top w:w="45" w:type="dxa"/>
              <w:left w:w="0" w:type="dxa"/>
              <w:bottom w:w="56" w:type="dxa"/>
              <w:right w:w="0" w:type="dxa"/>
            </w:tcMar>
            <w:vAlign w:val="bottom"/>
          </w:tcPr>
          <w:p w14:paraId="34E99426" w14:textId="77777777" w:rsidR="0062640D" w:rsidRDefault="0062640D"/>
        </w:tc>
        <w:tc>
          <w:tcPr>
            <w:tcW w:w="892" w:type="dxa"/>
            <w:tcBorders>
              <w:top w:val="single" w:sz="6" w:space="0" w:color="FF777C"/>
              <w:left w:val="nil"/>
              <w:bottom w:val="nil"/>
              <w:right w:val="nil"/>
            </w:tcBorders>
            <w:tcMar>
              <w:top w:w="45" w:type="dxa"/>
              <w:left w:w="0" w:type="dxa"/>
              <w:bottom w:w="56" w:type="dxa"/>
              <w:right w:w="0" w:type="dxa"/>
            </w:tcMar>
            <w:vAlign w:val="bottom"/>
          </w:tcPr>
          <w:p w14:paraId="7FE536C4" w14:textId="77777777" w:rsidR="0062640D" w:rsidRDefault="0062640D"/>
        </w:tc>
        <w:tc>
          <w:tcPr>
            <w:tcW w:w="892" w:type="dxa"/>
            <w:tcBorders>
              <w:top w:val="single" w:sz="6" w:space="0" w:color="FF777C"/>
              <w:left w:val="nil"/>
              <w:bottom w:val="nil"/>
              <w:right w:val="nil"/>
            </w:tcBorders>
            <w:tcMar>
              <w:top w:w="45" w:type="dxa"/>
              <w:left w:w="0" w:type="dxa"/>
              <w:bottom w:w="56" w:type="dxa"/>
              <w:right w:w="0" w:type="dxa"/>
            </w:tcMar>
            <w:vAlign w:val="bottom"/>
          </w:tcPr>
          <w:p w14:paraId="1772E98D" w14:textId="77777777" w:rsidR="0062640D" w:rsidRDefault="0062640D"/>
        </w:tc>
      </w:tr>
      <w:tr w:rsidR="0062640D" w14:paraId="24C8F93D" w14:textId="77777777">
        <w:tc>
          <w:tcPr>
            <w:tcW w:w="2892" w:type="dxa"/>
            <w:tcBorders>
              <w:top w:val="nil"/>
              <w:left w:val="nil"/>
              <w:bottom w:val="nil"/>
              <w:right w:val="nil"/>
            </w:tcBorders>
            <w:tcMar>
              <w:top w:w="45" w:type="dxa"/>
              <w:left w:w="0" w:type="dxa"/>
              <w:bottom w:w="56" w:type="dxa"/>
              <w:right w:w="0" w:type="dxa"/>
            </w:tcMar>
            <w:vAlign w:val="bottom"/>
          </w:tcPr>
          <w:p w14:paraId="15E7AE82" w14:textId="77777777" w:rsidR="0062640D" w:rsidRDefault="00C12A80">
            <w:pPr>
              <w:pStyle w:val="Heading-3"/>
            </w:pPr>
            <w:r>
              <w:t>Liabilities</w:t>
            </w:r>
          </w:p>
        </w:tc>
        <w:tc>
          <w:tcPr>
            <w:tcW w:w="892" w:type="dxa"/>
            <w:tcBorders>
              <w:top w:val="nil"/>
              <w:left w:val="nil"/>
              <w:bottom w:val="nil"/>
              <w:right w:val="nil"/>
            </w:tcBorders>
            <w:tcMar>
              <w:top w:w="45" w:type="dxa"/>
              <w:left w:w="0" w:type="dxa"/>
              <w:bottom w:w="56" w:type="dxa"/>
              <w:right w:w="0" w:type="dxa"/>
            </w:tcMar>
            <w:vAlign w:val="bottom"/>
          </w:tcPr>
          <w:p w14:paraId="741E68E5" w14:textId="77777777" w:rsidR="0062640D" w:rsidRDefault="0062640D"/>
        </w:tc>
        <w:tc>
          <w:tcPr>
            <w:tcW w:w="892" w:type="dxa"/>
            <w:tcBorders>
              <w:top w:val="nil"/>
              <w:left w:val="nil"/>
              <w:bottom w:val="nil"/>
              <w:right w:val="nil"/>
            </w:tcBorders>
            <w:tcMar>
              <w:top w:w="45" w:type="dxa"/>
              <w:left w:w="0" w:type="dxa"/>
              <w:bottom w:w="56" w:type="dxa"/>
              <w:right w:w="0" w:type="dxa"/>
            </w:tcMar>
            <w:vAlign w:val="bottom"/>
          </w:tcPr>
          <w:p w14:paraId="4DAB17D2" w14:textId="77777777" w:rsidR="0062640D" w:rsidRDefault="0062640D"/>
        </w:tc>
        <w:tc>
          <w:tcPr>
            <w:tcW w:w="892" w:type="dxa"/>
            <w:tcBorders>
              <w:top w:val="nil"/>
              <w:left w:val="nil"/>
              <w:bottom w:val="nil"/>
              <w:right w:val="nil"/>
            </w:tcBorders>
            <w:tcMar>
              <w:top w:w="45" w:type="dxa"/>
              <w:left w:w="0" w:type="dxa"/>
              <w:bottom w:w="56" w:type="dxa"/>
              <w:right w:w="0" w:type="dxa"/>
            </w:tcMar>
            <w:vAlign w:val="bottom"/>
          </w:tcPr>
          <w:p w14:paraId="37BDAC14" w14:textId="77777777" w:rsidR="0062640D" w:rsidRDefault="0062640D"/>
        </w:tc>
        <w:tc>
          <w:tcPr>
            <w:tcW w:w="892" w:type="dxa"/>
            <w:tcBorders>
              <w:top w:val="nil"/>
              <w:left w:val="nil"/>
              <w:bottom w:val="nil"/>
              <w:right w:val="nil"/>
            </w:tcBorders>
            <w:tcMar>
              <w:top w:w="45" w:type="dxa"/>
              <w:left w:w="0" w:type="dxa"/>
              <w:bottom w:w="56" w:type="dxa"/>
              <w:right w:w="0" w:type="dxa"/>
            </w:tcMar>
            <w:vAlign w:val="bottom"/>
          </w:tcPr>
          <w:p w14:paraId="027F5E7A" w14:textId="77777777" w:rsidR="0062640D" w:rsidRDefault="0062640D"/>
        </w:tc>
        <w:tc>
          <w:tcPr>
            <w:tcW w:w="60" w:type="dxa"/>
            <w:tcBorders>
              <w:top w:val="none" w:sz="8" w:space="0" w:color="auto"/>
              <w:left w:val="nil"/>
              <w:bottom w:val="none" w:sz="8" w:space="0" w:color="auto"/>
              <w:right w:val="nil"/>
            </w:tcBorders>
            <w:tcMar>
              <w:top w:w="45" w:type="dxa"/>
              <w:left w:w="0" w:type="dxa"/>
              <w:bottom w:w="56" w:type="dxa"/>
              <w:right w:w="0" w:type="dxa"/>
            </w:tcMar>
            <w:vAlign w:val="bottom"/>
          </w:tcPr>
          <w:p w14:paraId="6B580E50" w14:textId="77777777" w:rsidR="0062640D" w:rsidRDefault="0062640D"/>
        </w:tc>
        <w:tc>
          <w:tcPr>
            <w:tcW w:w="892" w:type="dxa"/>
            <w:tcBorders>
              <w:top w:val="nil"/>
              <w:left w:val="nil"/>
              <w:bottom w:val="nil"/>
              <w:right w:val="nil"/>
            </w:tcBorders>
            <w:tcMar>
              <w:top w:w="45" w:type="dxa"/>
              <w:left w:w="0" w:type="dxa"/>
              <w:bottom w:w="56" w:type="dxa"/>
              <w:right w:w="0" w:type="dxa"/>
            </w:tcMar>
            <w:vAlign w:val="bottom"/>
          </w:tcPr>
          <w:p w14:paraId="2C2A0269" w14:textId="77777777" w:rsidR="0062640D" w:rsidRDefault="0062640D"/>
        </w:tc>
        <w:tc>
          <w:tcPr>
            <w:tcW w:w="892" w:type="dxa"/>
            <w:tcBorders>
              <w:top w:val="nil"/>
              <w:left w:val="nil"/>
              <w:bottom w:val="nil"/>
              <w:right w:val="nil"/>
            </w:tcBorders>
            <w:tcMar>
              <w:top w:w="45" w:type="dxa"/>
              <w:left w:w="0" w:type="dxa"/>
              <w:bottom w:w="56" w:type="dxa"/>
              <w:right w:w="0" w:type="dxa"/>
            </w:tcMar>
            <w:vAlign w:val="bottom"/>
          </w:tcPr>
          <w:p w14:paraId="62AB3D66" w14:textId="77777777" w:rsidR="0062640D" w:rsidRDefault="0062640D"/>
        </w:tc>
        <w:tc>
          <w:tcPr>
            <w:tcW w:w="892" w:type="dxa"/>
            <w:tcBorders>
              <w:top w:val="nil"/>
              <w:left w:val="nil"/>
              <w:bottom w:val="nil"/>
              <w:right w:val="nil"/>
            </w:tcBorders>
            <w:tcMar>
              <w:top w:w="45" w:type="dxa"/>
              <w:left w:w="0" w:type="dxa"/>
              <w:bottom w:w="56" w:type="dxa"/>
              <w:right w:w="0" w:type="dxa"/>
            </w:tcMar>
            <w:vAlign w:val="bottom"/>
          </w:tcPr>
          <w:p w14:paraId="5E5F684A" w14:textId="77777777" w:rsidR="0062640D" w:rsidRDefault="0062640D"/>
        </w:tc>
        <w:tc>
          <w:tcPr>
            <w:tcW w:w="892" w:type="dxa"/>
            <w:tcBorders>
              <w:top w:val="nil"/>
              <w:left w:val="nil"/>
              <w:bottom w:val="nil"/>
              <w:right w:val="nil"/>
            </w:tcBorders>
            <w:tcMar>
              <w:top w:w="45" w:type="dxa"/>
              <w:left w:w="0" w:type="dxa"/>
              <w:bottom w:w="56" w:type="dxa"/>
              <w:right w:w="0" w:type="dxa"/>
            </w:tcMar>
            <w:vAlign w:val="bottom"/>
          </w:tcPr>
          <w:p w14:paraId="0D30D0DA" w14:textId="77777777" w:rsidR="0062640D" w:rsidRDefault="0062640D"/>
        </w:tc>
      </w:tr>
      <w:tr w:rsidR="0062640D" w14:paraId="1558A2DB" w14:textId="77777777">
        <w:tc>
          <w:tcPr>
            <w:tcW w:w="2892" w:type="dxa"/>
            <w:tcBorders>
              <w:top w:val="nil"/>
              <w:left w:val="nil"/>
              <w:bottom w:val="nil"/>
              <w:right w:val="nil"/>
            </w:tcBorders>
            <w:tcMar>
              <w:top w:w="45" w:type="dxa"/>
              <w:left w:w="0" w:type="dxa"/>
              <w:bottom w:w="56" w:type="dxa"/>
              <w:right w:w="0" w:type="dxa"/>
            </w:tcMar>
            <w:vAlign w:val="bottom"/>
          </w:tcPr>
          <w:p w14:paraId="4D0E5BEC" w14:textId="77777777" w:rsidR="0062640D" w:rsidRDefault="00C12A80">
            <w:r>
              <w:t xml:space="preserve">Bank loans and private placement notes </w:t>
            </w:r>
          </w:p>
        </w:tc>
        <w:tc>
          <w:tcPr>
            <w:tcW w:w="892" w:type="dxa"/>
            <w:tcBorders>
              <w:top w:val="nil"/>
              <w:left w:val="nil"/>
              <w:bottom w:val="nil"/>
              <w:right w:val="nil"/>
            </w:tcBorders>
            <w:tcMar>
              <w:top w:w="45" w:type="dxa"/>
              <w:left w:w="0" w:type="dxa"/>
              <w:bottom w:w="56" w:type="dxa"/>
              <w:right w:w="0" w:type="dxa"/>
            </w:tcMar>
            <w:vAlign w:val="bottom"/>
          </w:tcPr>
          <w:p w14:paraId="3AE94081" w14:textId="77777777" w:rsidR="0062640D" w:rsidRDefault="00C12A80">
            <w:pPr>
              <w:pStyle w:val="AccountsBold"/>
            </w:pPr>
            <w:r>
              <w:t>186,379</w:t>
            </w:r>
          </w:p>
        </w:tc>
        <w:tc>
          <w:tcPr>
            <w:tcW w:w="892" w:type="dxa"/>
            <w:tcBorders>
              <w:top w:val="nil"/>
              <w:left w:val="nil"/>
              <w:bottom w:val="nil"/>
              <w:right w:val="nil"/>
            </w:tcBorders>
            <w:tcMar>
              <w:top w:w="45" w:type="dxa"/>
              <w:left w:w="0" w:type="dxa"/>
              <w:bottom w:w="56" w:type="dxa"/>
              <w:right w:w="0" w:type="dxa"/>
            </w:tcMar>
            <w:vAlign w:val="bottom"/>
          </w:tcPr>
          <w:p w14:paraId="215C718D" w14:textId="77777777" w:rsidR="0062640D" w:rsidRDefault="00C12A80">
            <w:pPr>
              <w:pStyle w:val="AccountsBold"/>
            </w:pPr>
            <w:r>
              <w:t>85,005</w:t>
            </w:r>
          </w:p>
        </w:tc>
        <w:tc>
          <w:tcPr>
            <w:tcW w:w="892" w:type="dxa"/>
            <w:tcBorders>
              <w:top w:val="nil"/>
              <w:left w:val="nil"/>
              <w:bottom w:val="nil"/>
              <w:right w:val="nil"/>
            </w:tcBorders>
            <w:tcMar>
              <w:top w:w="45" w:type="dxa"/>
              <w:left w:w="0" w:type="dxa"/>
              <w:bottom w:w="56" w:type="dxa"/>
              <w:right w:w="0" w:type="dxa"/>
            </w:tcMar>
            <w:vAlign w:val="bottom"/>
          </w:tcPr>
          <w:p w14:paraId="727CFC25" w14:textId="77777777" w:rsidR="0062640D" w:rsidRDefault="00C12A80">
            <w:pPr>
              <w:pStyle w:val="AccountsBold"/>
            </w:pPr>
            <w:r>
              <w:t>-</w:t>
            </w:r>
          </w:p>
        </w:tc>
        <w:tc>
          <w:tcPr>
            <w:tcW w:w="892" w:type="dxa"/>
            <w:tcBorders>
              <w:top w:val="nil"/>
              <w:left w:val="nil"/>
              <w:bottom w:val="nil"/>
              <w:right w:val="nil"/>
            </w:tcBorders>
            <w:tcMar>
              <w:top w:w="45" w:type="dxa"/>
              <w:left w:w="0" w:type="dxa"/>
              <w:bottom w:w="56" w:type="dxa"/>
              <w:right w:w="0" w:type="dxa"/>
            </w:tcMar>
            <w:vAlign w:val="bottom"/>
          </w:tcPr>
          <w:p w14:paraId="3FE2140C" w14:textId="77777777" w:rsidR="0062640D" w:rsidRDefault="00C12A80">
            <w:pPr>
              <w:pStyle w:val="AccountsBold"/>
            </w:pPr>
            <w:r>
              <w:t>271,384</w:t>
            </w:r>
          </w:p>
        </w:tc>
        <w:tc>
          <w:tcPr>
            <w:tcW w:w="60" w:type="dxa"/>
            <w:tcBorders>
              <w:top w:val="none" w:sz="8" w:space="0" w:color="auto"/>
              <w:left w:val="nil"/>
              <w:bottom w:val="none" w:sz="8" w:space="0" w:color="auto"/>
              <w:right w:val="nil"/>
            </w:tcBorders>
            <w:tcMar>
              <w:top w:w="45" w:type="dxa"/>
              <w:left w:w="0" w:type="dxa"/>
              <w:bottom w:w="56" w:type="dxa"/>
              <w:right w:w="0" w:type="dxa"/>
            </w:tcMar>
            <w:vAlign w:val="bottom"/>
          </w:tcPr>
          <w:p w14:paraId="5F27ECE5" w14:textId="77777777" w:rsidR="0062640D" w:rsidRDefault="0062640D"/>
        </w:tc>
        <w:tc>
          <w:tcPr>
            <w:tcW w:w="892" w:type="dxa"/>
            <w:tcBorders>
              <w:top w:val="nil"/>
              <w:left w:val="nil"/>
              <w:bottom w:val="nil"/>
              <w:right w:val="nil"/>
            </w:tcBorders>
            <w:tcMar>
              <w:top w:w="45" w:type="dxa"/>
              <w:left w:w="0" w:type="dxa"/>
              <w:bottom w:w="56" w:type="dxa"/>
              <w:right w:w="0" w:type="dxa"/>
            </w:tcMar>
            <w:vAlign w:val="bottom"/>
          </w:tcPr>
          <w:p w14:paraId="19B7F38C" w14:textId="77777777" w:rsidR="0062640D" w:rsidRDefault="00C12A80">
            <w:pPr>
              <w:pStyle w:val="Accounts"/>
            </w:pPr>
            <w:r>
              <w:t>4,000</w:t>
            </w:r>
          </w:p>
        </w:tc>
        <w:tc>
          <w:tcPr>
            <w:tcW w:w="892" w:type="dxa"/>
            <w:tcBorders>
              <w:top w:val="nil"/>
              <w:left w:val="nil"/>
              <w:bottom w:val="nil"/>
              <w:right w:val="nil"/>
            </w:tcBorders>
            <w:tcMar>
              <w:top w:w="45" w:type="dxa"/>
              <w:left w:w="0" w:type="dxa"/>
              <w:bottom w:w="56" w:type="dxa"/>
              <w:right w:w="0" w:type="dxa"/>
            </w:tcMar>
            <w:vAlign w:val="bottom"/>
          </w:tcPr>
          <w:p w14:paraId="4106F9FB" w14:textId="77777777" w:rsidR="0062640D" w:rsidRDefault="00C12A80">
            <w:pPr>
              <w:pStyle w:val="Accounts"/>
            </w:pPr>
            <w:r>
              <w:t>250,387</w:t>
            </w:r>
          </w:p>
        </w:tc>
        <w:tc>
          <w:tcPr>
            <w:tcW w:w="892" w:type="dxa"/>
            <w:tcBorders>
              <w:top w:val="nil"/>
              <w:left w:val="nil"/>
              <w:bottom w:val="nil"/>
              <w:right w:val="nil"/>
            </w:tcBorders>
            <w:tcMar>
              <w:top w:w="45" w:type="dxa"/>
              <w:left w:w="0" w:type="dxa"/>
              <w:bottom w:w="56" w:type="dxa"/>
              <w:right w:w="0" w:type="dxa"/>
            </w:tcMar>
            <w:vAlign w:val="bottom"/>
          </w:tcPr>
          <w:p w14:paraId="43B0EDE5" w14:textId="77777777" w:rsidR="0062640D" w:rsidRDefault="00C12A80">
            <w:pPr>
              <w:pStyle w:val="Accounts"/>
            </w:pPr>
            <w:r>
              <w:t>-</w:t>
            </w:r>
          </w:p>
        </w:tc>
        <w:tc>
          <w:tcPr>
            <w:tcW w:w="892" w:type="dxa"/>
            <w:tcBorders>
              <w:top w:val="nil"/>
              <w:left w:val="nil"/>
              <w:bottom w:val="nil"/>
              <w:right w:val="nil"/>
            </w:tcBorders>
            <w:tcMar>
              <w:top w:w="45" w:type="dxa"/>
              <w:left w:w="0" w:type="dxa"/>
              <w:bottom w:w="56" w:type="dxa"/>
              <w:right w:w="0" w:type="dxa"/>
            </w:tcMar>
            <w:vAlign w:val="bottom"/>
          </w:tcPr>
          <w:p w14:paraId="75A3509E" w14:textId="77777777" w:rsidR="0062640D" w:rsidRDefault="00C12A80">
            <w:pPr>
              <w:pStyle w:val="Accounts"/>
            </w:pPr>
            <w:r>
              <w:t>254,387</w:t>
            </w:r>
          </w:p>
        </w:tc>
      </w:tr>
      <w:tr w:rsidR="0062640D" w14:paraId="1805A554" w14:textId="77777777">
        <w:tc>
          <w:tcPr>
            <w:tcW w:w="2892" w:type="dxa"/>
            <w:tcBorders>
              <w:top w:val="nil"/>
              <w:left w:val="nil"/>
              <w:bottom w:val="nil"/>
              <w:right w:val="nil"/>
            </w:tcBorders>
            <w:tcMar>
              <w:top w:w="45" w:type="dxa"/>
              <w:left w:w="0" w:type="dxa"/>
              <w:bottom w:w="56" w:type="dxa"/>
              <w:right w:w="0" w:type="dxa"/>
            </w:tcMar>
            <w:vAlign w:val="bottom"/>
          </w:tcPr>
          <w:p w14:paraId="046C5CCA" w14:textId="77777777" w:rsidR="0062640D" w:rsidRDefault="00C12A80">
            <w:r>
              <w:t>Lease liabilities</w:t>
            </w:r>
          </w:p>
        </w:tc>
        <w:tc>
          <w:tcPr>
            <w:tcW w:w="892" w:type="dxa"/>
            <w:tcBorders>
              <w:top w:val="nil"/>
              <w:left w:val="nil"/>
              <w:bottom w:val="nil"/>
              <w:right w:val="nil"/>
            </w:tcBorders>
            <w:tcMar>
              <w:top w:w="45" w:type="dxa"/>
              <w:left w:w="0" w:type="dxa"/>
              <w:bottom w:w="56" w:type="dxa"/>
              <w:right w:w="0" w:type="dxa"/>
            </w:tcMar>
            <w:vAlign w:val="bottom"/>
          </w:tcPr>
          <w:p w14:paraId="4C3071D2" w14:textId="77777777" w:rsidR="0062640D" w:rsidRDefault="00C12A80">
            <w:pPr>
              <w:pStyle w:val="AccountsBold"/>
            </w:pPr>
            <w:r>
              <w:t>291,699</w:t>
            </w:r>
          </w:p>
        </w:tc>
        <w:tc>
          <w:tcPr>
            <w:tcW w:w="892" w:type="dxa"/>
            <w:tcBorders>
              <w:top w:val="nil"/>
              <w:left w:val="nil"/>
              <w:bottom w:val="nil"/>
              <w:right w:val="nil"/>
            </w:tcBorders>
            <w:tcMar>
              <w:top w:w="45" w:type="dxa"/>
              <w:left w:w="0" w:type="dxa"/>
              <w:bottom w:w="56" w:type="dxa"/>
              <w:right w:w="0" w:type="dxa"/>
            </w:tcMar>
            <w:vAlign w:val="bottom"/>
          </w:tcPr>
          <w:p w14:paraId="798B6738" w14:textId="77777777" w:rsidR="0062640D" w:rsidRDefault="00C12A80">
            <w:pPr>
              <w:pStyle w:val="AccountsBold"/>
            </w:pPr>
            <w:r>
              <w:t>401,276</w:t>
            </w:r>
          </w:p>
        </w:tc>
        <w:tc>
          <w:tcPr>
            <w:tcW w:w="892" w:type="dxa"/>
            <w:tcBorders>
              <w:top w:val="nil"/>
              <w:left w:val="nil"/>
              <w:bottom w:val="nil"/>
              <w:right w:val="nil"/>
            </w:tcBorders>
            <w:tcMar>
              <w:top w:w="45" w:type="dxa"/>
              <w:left w:w="0" w:type="dxa"/>
              <w:bottom w:w="56" w:type="dxa"/>
              <w:right w:w="0" w:type="dxa"/>
            </w:tcMar>
            <w:vAlign w:val="bottom"/>
          </w:tcPr>
          <w:p w14:paraId="7403B8B1" w14:textId="77777777" w:rsidR="0062640D" w:rsidRDefault="00C12A80">
            <w:pPr>
              <w:pStyle w:val="AccountsBold"/>
            </w:pPr>
            <w:r>
              <w:t>85,583</w:t>
            </w:r>
          </w:p>
        </w:tc>
        <w:tc>
          <w:tcPr>
            <w:tcW w:w="892" w:type="dxa"/>
            <w:tcBorders>
              <w:top w:val="nil"/>
              <w:left w:val="nil"/>
              <w:bottom w:val="nil"/>
              <w:right w:val="nil"/>
            </w:tcBorders>
            <w:tcMar>
              <w:top w:w="45" w:type="dxa"/>
              <w:left w:w="0" w:type="dxa"/>
              <w:bottom w:w="56" w:type="dxa"/>
              <w:right w:w="0" w:type="dxa"/>
            </w:tcMar>
            <w:vAlign w:val="bottom"/>
          </w:tcPr>
          <w:p w14:paraId="4DD146FA" w14:textId="77777777" w:rsidR="0062640D" w:rsidRDefault="00C12A80">
            <w:pPr>
              <w:pStyle w:val="AccountsBold"/>
            </w:pPr>
            <w:r>
              <w:t>778,558</w:t>
            </w:r>
          </w:p>
        </w:tc>
        <w:tc>
          <w:tcPr>
            <w:tcW w:w="60" w:type="dxa"/>
            <w:tcBorders>
              <w:top w:val="none" w:sz="8" w:space="0" w:color="auto"/>
              <w:left w:val="nil"/>
              <w:bottom w:val="none" w:sz="8" w:space="0" w:color="auto"/>
              <w:right w:val="nil"/>
            </w:tcBorders>
            <w:tcMar>
              <w:top w:w="45" w:type="dxa"/>
              <w:left w:w="0" w:type="dxa"/>
              <w:bottom w:w="56" w:type="dxa"/>
              <w:right w:w="0" w:type="dxa"/>
            </w:tcMar>
            <w:vAlign w:val="bottom"/>
          </w:tcPr>
          <w:p w14:paraId="709CB537" w14:textId="77777777" w:rsidR="0062640D" w:rsidRDefault="0062640D"/>
        </w:tc>
        <w:tc>
          <w:tcPr>
            <w:tcW w:w="892" w:type="dxa"/>
            <w:tcBorders>
              <w:top w:val="nil"/>
              <w:left w:val="nil"/>
              <w:bottom w:val="nil"/>
              <w:right w:val="nil"/>
            </w:tcBorders>
            <w:tcMar>
              <w:top w:w="45" w:type="dxa"/>
              <w:left w:w="0" w:type="dxa"/>
              <w:bottom w:w="56" w:type="dxa"/>
              <w:right w:w="0" w:type="dxa"/>
            </w:tcMar>
            <w:vAlign w:val="bottom"/>
          </w:tcPr>
          <w:p w14:paraId="46E0FB5D" w14:textId="77777777" w:rsidR="0062640D" w:rsidRDefault="00C12A80">
            <w:pPr>
              <w:pStyle w:val="Accounts"/>
            </w:pPr>
            <w:r>
              <w:t>300,157</w:t>
            </w:r>
          </w:p>
        </w:tc>
        <w:tc>
          <w:tcPr>
            <w:tcW w:w="892" w:type="dxa"/>
            <w:tcBorders>
              <w:top w:val="nil"/>
              <w:left w:val="nil"/>
              <w:bottom w:val="nil"/>
              <w:right w:val="nil"/>
            </w:tcBorders>
            <w:tcMar>
              <w:top w:w="45" w:type="dxa"/>
              <w:left w:w="0" w:type="dxa"/>
              <w:bottom w:w="56" w:type="dxa"/>
              <w:right w:w="0" w:type="dxa"/>
            </w:tcMar>
            <w:vAlign w:val="bottom"/>
          </w:tcPr>
          <w:p w14:paraId="4017E658" w14:textId="77777777" w:rsidR="0062640D" w:rsidRDefault="00C12A80">
            <w:pPr>
              <w:pStyle w:val="Accounts"/>
            </w:pPr>
            <w:r>
              <w:t>310,697</w:t>
            </w:r>
          </w:p>
        </w:tc>
        <w:tc>
          <w:tcPr>
            <w:tcW w:w="892" w:type="dxa"/>
            <w:tcBorders>
              <w:top w:val="nil"/>
              <w:left w:val="nil"/>
              <w:bottom w:val="nil"/>
              <w:right w:val="nil"/>
            </w:tcBorders>
            <w:tcMar>
              <w:top w:w="45" w:type="dxa"/>
              <w:left w:w="0" w:type="dxa"/>
              <w:bottom w:w="56" w:type="dxa"/>
              <w:right w:w="0" w:type="dxa"/>
            </w:tcMar>
            <w:vAlign w:val="bottom"/>
          </w:tcPr>
          <w:p w14:paraId="6FEC835A" w14:textId="77777777" w:rsidR="0062640D" w:rsidRDefault="00C12A80">
            <w:pPr>
              <w:pStyle w:val="Accounts"/>
            </w:pPr>
            <w:r>
              <w:t>87,744</w:t>
            </w:r>
          </w:p>
        </w:tc>
        <w:tc>
          <w:tcPr>
            <w:tcW w:w="892" w:type="dxa"/>
            <w:tcBorders>
              <w:top w:val="nil"/>
              <w:left w:val="nil"/>
              <w:bottom w:val="nil"/>
              <w:right w:val="nil"/>
            </w:tcBorders>
            <w:tcMar>
              <w:top w:w="45" w:type="dxa"/>
              <w:left w:w="0" w:type="dxa"/>
              <w:bottom w:w="56" w:type="dxa"/>
              <w:right w:w="0" w:type="dxa"/>
            </w:tcMar>
            <w:vAlign w:val="bottom"/>
          </w:tcPr>
          <w:p w14:paraId="5F77F52D" w14:textId="77777777" w:rsidR="0062640D" w:rsidRDefault="00C12A80">
            <w:pPr>
              <w:pStyle w:val="Accounts"/>
            </w:pPr>
            <w:r>
              <w:t>698,598</w:t>
            </w:r>
          </w:p>
        </w:tc>
      </w:tr>
      <w:tr w:rsidR="0062640D" w14:paraId="70AB7CAF" w14:textId="77777777">
        <w:tc>
          <w:tcPr>
            <w:tcW w:w="2892" w:type="dxa"/>
            <w:tcBorders>
              <w:top w:val="nil"/>
              <w:left w:val="nil"/>
              <w:bottom w:val="single" w:sz="2" w:space="0" w:color="FF777C"/>
              <w:right w:val="nil"/>
            </w:tcBorders>
            <w:tcMar>
              <w:top w:w="45" w:type="dxa"/>
              <w:left w:w="0" w:type="dxa"/>
              <w:bottom w:w="56" w:type="dxa"/>
              <w:right w:w="0" w:type="dxa"/>
            </w:tcMar>
            <w:vAlign w:val="bottom"/>
          </w:tcPr>
          <w:p w14:paraId="2BA44329" w14:textId="77777777" w:rsidR="0062640D" w:rsidRDefault="00C12A80">
            <w:r>
              <w:t>Trade and other payables</w:t>
            </w:r>
          </w:p>
        </w:tc>
        <w:tc>
          <w:tcPr>
            <w:tcW w:w="892" w:type="dxa"/>
            <w:tcBorders>
              <w:top w:val="nil"/>
              <w:left w:val="nil"/>
              <w:bottom w:val="single" w:sz="2" w:space="0" w:color="FF777C"/>
              <w:right w:val="nil"/>
            </w:tcBorders>
            <w:tcMar>
              <w:top w:w="45" w:type="dxa"/>
              <w:left w:w="0" w:type="dxa"/>
              <w:bottom w:w="56" w:type="dxa"/>
              <w:right w:w="0" w:type="dxa"/>
            </w:tcMar>
            <w:vAlign w:val="bottom"/>
          </w:tcPr>
          <w:p w14:paraId="57B145D9" w14:textId="657A973C" w:rsidR="0062640D" w:rsidRDefault="00C12A80">
            <w:pPr>
              <w:pStyle w:val="AccountsBold"/>
            </w:pPr>
            <w:r>
              <w:t>56,78</w:t>
            </w:r>
            <w:r w:rsidR="00BD5A74">
              <w:t>0</w:t>
            </w:r>
          </w:p>
        </w:tc>
        <w:tc>
          <w:tcPr>
            <w:tcW w:w="892" w:type="dxa"/>
            <w:tcBorders>
              <w:top w:val="nil"/>
              <w:left w:val="nil"/>
              <w:bottom w:val="single" w:sz="2" w:space="0" w:color="FF777C"/>
              <w:right w:val="nil"/>
            </w:tcBorders>
            <w:tcMar>
              <w:top w:w="45" w:type="dxa"/>
              <w:left w:w="0" w:type="dxa"/>
              <w:bottom w:w="56" w:type="dxa"/>
              <w:right w:w="0" w:type="dxa"/>
            </w:tcMar>
            <w:vAlign w:val="bottom"/>
          </w:tcPr>
          <w:p w14:paraId="46D17A63" w14:textId="77777777" w:rsidR="0062640D" w:rsidRDefault="00C12A80">
            <w:pPr>
              <w:pStyle w:val="AccountsBold"/>
            </w:pPr>
            <w:r>
              <w:t>27,756</w:t>
            </w:r>
          </w:p>
        </w:tc>
        <w:tc>
          <w:tcPr>
            <w:tcW w:w="892" w:type="dxa"/>
            <w:tcBorders>
              <w:top w:val="nil"/>
              <w:left w:val="nil"/>
              <w:bottom w:val="single" w:sz="2" w:space="0" w:color="FF777C"/>
              <w:right w:val="nil"/>
            </w:tcBorders>
            <w:tcMar>
              <w:top w:w="45" w:type="dxa"/>
              <w:left w:w="0" w:type="dxa"/>
              <w:bottom w:w="56" w:type="dxa"/>
              <w:right w:w="0" w:type="dxa"/>
            </w:tcMar>
            <w:vAlign w:val="bottom"/>
          </w:tcPr>
          <w:p w14:paraId="6D50F8A9" w14:textId="77777777" w:rsidR="0062640D" w:rsidRDefault="00C12A80">
            <w:pPr>
              <w:pStyle w:val="AccountsBold"/>
            </w:pPr>
            <w:r>
              <w:t>4,135</w:t>
            </w:r>
          </w:p>
        </w:tc>
        <w:tc>
          <w:tcPr>
            <w:tcW w:w="892" w:type="dxa"/>
            <w:tcBorders>
              <w:top w:val="nil"/>
              <w:left w:val="nil"/>
              <w:bottom w:val="single" w:sz="2" w:space="0" w:color="FF777C"/>
              <w:right w:val="nil"/>
            </w:tcBorders>
            <w:tcMar>
              <w:top w:w="45" w:type="dxa"/>
              <w:left w:w="0" w:type="dxa"/>
              <w:bottom w:w="56" w:type="dxa"/>
              <w:right w:w="0" w:type="dxa"/>
            </w:tcMar>
            <w:vAlign w:val="bottom"/>
          </w:tcPr>
          <w:p w14:paraId="56605D49" w14:textId="531D6F9F" w:rsidR="0062640D" w:rsidRDefault="00C12A80">
            <w:pPr>
              <w:pStyle w:val="AccountsBold"/>
            </w:pPr>
            <w:r>
              <w:t>88,6</w:t>
            </w:r>
            <w:r w:rsidR="00BD5A74">
              <w:t>71</w:t>
            </w:r>
          </w:p>
        </w:tc>
        <w:tc>
          <w:tcPr>
            <w:tcW w:w="60" w:type="dxa"/>
            <w:tcBorders>
              <w:top w:val="none" w:sz="8" w:space="0" w:color="auto"/>
              <w:left w:val="nil"/>
              <w:bottom w:val="none" w:sz="8" w:space="0" w:color="auto"/>
              <w:right w:val="nil"/>
            </w:tcBorders>
            <w:tcMar>
              <w:top w:w="45" w:type="dxa"/>
              <w:left w:w="0" w:type="dxa"/>
              <w:bottom w:w="56" w:type="dxa"/>
              <w:right w:w="0" w:type="dxa"/>
            </w:tcMar>
            <w:vAlign w:val="bottom"/>
          </w:tcPr>
          <w:p w14:paraId="49E796F4" w14:textId="77777777" w:rsidR="0062640D" w:rsidRDefault="0062640D"/>
        </w:tc>
        <w:tc>
          <w:tcPr>
            <w:tcW w:w="892" w:type="dxa"/>
            <w:tcBorders>
              <w:top w:val="nil"/>
              <w:left w:val="nil"/>
              <w:bottom w:val="single" w:sz="2" w:space="0" w:color="FF777C"/>
              <w:right w:val="nil"/>
            </w:tcBorders>
            <w:tcMar>
              <w:top w:w="45" w:type="dxa"/>
              <w:left w:w="0" w:type="dxa"/>
              <w:bottom w:w="56" w:type="dxa"/>
              <w:right w:w="0" w:type="dxa"/>
            </w:tcMar>
            <w:vAlign w:val="bottom"/>
          </w:tcPr>
          <w:p w14:paraId="5496FBE3" w14:textId="77777777" w:rsidR="0062640D" w:rsidRDefault="00C12A80">
            <w:pPr>
              <w:pStyle w:val="Accounts"/>
            </w:pPr>
            <w:r>
              <w:t>55,063</w:t>
            </w:r>
          </w:p>
        </w:tc>
        <w:tc>
          <w:tcPr>
            <w:tcW w:w="892" w:type="dxa"/>
            <w:tcBorders>
              <w:top w:val="nil"/>
              <w:left w:val="nil"/>
              <w:bottom w:val="single" w:sz="2" w:space="0" w:color="FF777C"/>
              <w:right w:val="nil"/>
            </w:tcBorders>
            <w:tcMar>
              <w:top w:w="45" w:type="dxa"/>
              <w:left w:w="0" w:type="dxa"/>
              <w:bottom w:w="56" w:type="dxa"/>
              <w:right w:w="0" w:type="dxa"/>
            </w:tcMar>
            <w:vAlign w:val="bottom"/>
          </w:tcPr>
          <w:p w14:paraId="3F4A06DC" w14:textId="77777777" w:rsidR="0062640D" w:rsidRDefault="00C12A80">
            <w:pPr>
              <w:pStyle w:val="Accounts"/>
            </w:pPr>
            <w:r>
              <w:t>24,985</w:t>
            </w:r>
          </w:p>
        </w:tc>
        <w:tc>
          <w:tcPr>
            <w:tcW w:w="892" w:type="dxa"/>
            <w:tcBorders>
              <w:top w:val="nil"/>
              <w:left w:val="nil"/>
              <w:bottom w:val="single" w:sz="2" w:space="0" w:color="FF777C"/>
              <w:right w:val="nil"/>
            </w:tcBorders>
            <w:tcMar>
              <w:top w:w="45" w:type="dxa"/>
              <w:left w:w="0" w:type="dxa"/>
              <w:bottom w:w="56" w:type="dxa"/>
              <w:right w:w="0" w:type="dxa"/>
            </w:tcMar>
            <w:vAlign w:val="bottom"/>
          </w:tcPr>
          <w:p w14:paraId="15F60622" w14:textId="77777777" w:rsidR="0062640D" w:rsidRDefault="00C12A80">
            <w:pPr>
              <w:pStyle w:val="Accounts"/>
            </w:pPr>
            <w:r>
              <w:t>6,349</w:t>
            </w:r>
          </w:p>
        </w:tc>
        <w:tc>
          <w:tcPr>
            <w:tcW w:w="892" w:type="dxa"/>
            <w:tcBorders>
              <w:top w:val="nil"/>
              <w:left w:val="nil"/>
              <w:bottom w:val="single" w:sz="2" w:space="0" w:color="FF777C"/>
              <w:right w:val="nil"/>
            </w:tcBorders>
            <w:tcMar>
              <w:top w:w="45" w:type="dxa"/>
              <w:left w:w="0" w:type="dxa"/>
              <w:bottom w:w="56" w:type="dxa"/>
              <w:right w:w="0" w:type="dxa"/>
            </w:tcMar>
            <w:vAlign w:val="bottom"/>
          </w:tcPr>
          <w:p w14:paraId="1A560286" w14:textId="77777777" w:rsidR="0062640D" w:rsidRDefault="00C12A80">
            <w:pPr>
              <w:pStyle w:val="Accounts"/>
            </w:pPr>
            <w:r>
              <w:t>86,397</w:t>
            </w:r>
          </w:p>
        </w:tc>
      </w:tr>
      <w:tr w:rsidR="0062640D" w14:paraId="7EF1AD72" w14:textId="77777777">
        <w:tc>
          <w:tcPr>
            <w:tcW w:w="2892" w:type="dxa"/>
            <w:tcBorders>
              <w:top w:val="single" w:sz="2" w:space="0" w:color="FF777C"/>
              <w:left w:val="nil"/>
              <w:bottom w:val="nil"/>
              <w:right w:val="nil"/>
            </w:tcBorders>
            <w:tcMar>
              <w:top w:w="45" w:type="dxa"/>
              <w:left w:w="0" w:type="dxa"/>
              <w:bottom w:w="56" w:type="dxa"/>
              <w:right w:w="0" w:type="dxa"/>
            </w:tcMar>
            <w:vAlign w:val="bottom"/>
          </w:tcPr>
          <w:p w14:paraId="7DDB33A4" w14:textId="77777777" w:rsidR="0062640D" w:rsidRDefault="0062640D"/>
        </w:tc>
        <w:tc>
          <w:tcPr>
            <w:tcW w:w="892" w:type="dxa"/>
            <w:tcBorders>
              <w:top w:val="single" w:sz="2" w:space="0" w:color="FF777C"/>
              <w:left w:val="nil"/>
              <w:bottom w:val="nil"/>
              <w:right w:val="nil"/>
            </w:tcBorders>
            <w:tcMar>
              <w:top w:w="45" w:type="dxa"/>
              <w:left w:w="0" w:type="dxa"/>
              <w:bottom w:w="56" w:type="dxa"/>
              <w:right w:w="0" w:type="dxa"/>
            </w:tcMar>
            <w:vAlign w:val="bottom"/>
          </w:tcPr>
          <w:p w14:paraId="5D591456" w14:textId="77777777" w:rsidR="0062640D" w:rsidRDefault="0062640D"/>
        </w:tc>
        <w:tc>
          <w:tcPr>
            <w:tcW w:w="892" w:type="dxa"/>
            <w:tcBorders>
              <w:top w:val="single" w:sz="2" w:space="0" w:color="FF777C"/>
              <w:left w:val="nil"/>
              <w:bottom w:val="nil"/>
              <w:right w:val="nil"/>
            </w:tcBorders>
            <w:tcMar>
              <w:top w:w="45" w:type="dxa"/>
              <w:left w:w="0" w:type="dxa"/>
              <w:bottom w:w="56" w:type="dxa"/>
              <w:right w:w="0" w:type="dxa"/>
            </w:tcMar>
            <w:vAlign w:val="bottom"/>
          </w:tcPr>
          <w:p w14:paraId="3D6E0787" w14:textId="77777777" w:rsidR="0062640D" w:rsidRDefault="0062640D"/>
        </w:tc>
        <w:tc>
          <w:tcPr>
            <w:tcW w:w="892" w:type="dxa"/>
            <w:tcBorders>
              <w:top w:val="single" w:sz="2" w:space="0" w:color="FF777C"/>
              <w:left w:val="nil"/>
              <w:bottom w:val="nil"/>
              <w:right w:val="nil"/>
            </w:tcBorders>
            <w:tcMar>
              <w:top w:w="45" w:type="dxa"/>
              <w:left w:w="0" w:type="dxa"/>
              <w:bottom w:w="56" w:type="dxa"/>
              <w:right w:w="0" w:type="dxa"/>
            </w:tcMar>
            <w:vAlign w:val="bottom"/>
          </w:tcPr>
          <w:p w14:paraId="4123892E" w14:textId="77777777" w:rsidR="0062640D" w:rsidRDefault="0062640D"/>
        </w:tc>
        <w:tc>
          <w:tcPr>
            <w:tcW w:w="892" w:type="dxa"/>
            <w:tcBorders>
              <w:top w:val="single" w:sz="2" w:space="0" w:color="FF777C"/>
              <w:left w:val="nil"/>
              <w:bottom w:val="nil"/>
              <w:right w:val="nil"/>
            </w:tcBorders>
            <w:tcMar>
              <w:top w:w="45" w:type="dxa"/>
              <w:left w:w="0" w:type="dxa"/>
              <w:bottom w:w="56" w:type="dxa"/>
              <w:right w:w="0" w:type="dxa"/>
            </w:tcMar>
            <w:vAlign w:val="bottom"/>
          </w:tcPr>
          <w:p w14:paraId="0B5279F6" w14:textId="77777777" w:rsidR="0062640D" w:rsidRDefault="0062640D"/>
        </w:tc>
        <w:tc>
          <w:tcPr>
            <w:tcW w:w="60" w:type="dxa"/>
            <w:tcBorders>
              <w:top w:val="none" w:sz="8" w:space="0" w:color="auto"/>
              <w:left w:val="nil"/>
              <w:bottom w:val="none" w:sz="8" w:space="0" w:color="auto"/>
              <w:right w:val="nil"/>
            </w:tcBorders>
            <w:tcMar>
              <w:top w:w="45" w:type="dxa"/>
              <w:left w:w="0" w:type="dxa"/>
              <w:bottom w:w="56" w:type="dxa"/>
              <w:right w:w="0" w:type="dxa"/>
            </w:tcMar>
            <w:vAlign w:val="bottom"/>
          </w:tcPr>
          <w:p w14:paraId="761D9A72" w14:textId="77777777" w:rsidR="0062640D" w:rsidRDefault="0062640D"/>
        </w:tc>
        <w:tc>
          <w:tcPr>
            <w:tcW w:w="892" w:type="dxa"/>
            <w:tcBorders>
              <w:top w:val="single" w:sz="2" w:space="0" w:color="FF777C"/>
              <w:left w:val="nil"/>
              <w:bottom w:val="nil"/>
              <w:right w:val="nil"/>
            </w:tcBorders>
            <w:tcMar>
              <w:top w:w="45" w:type="dxa"/>
              <w:left w:w="0" w:type="dxa"/>
              <w:bottom w:w="56" w:type="dxa"/>
              <w:right w:w="0" w:type="dxa"/>
            </w:tcMar>
            <w:vAlign w:val="bottom"/>
          </w:tcPr>
          <w:p w14:paraId="68BAFD93" w14:textId="77777777" w:rsidR="0062640D" w:rsidRDefault="0062640D"/>
        </w:tc>
        <w:tc>
          <w:tcPr>
            <w:tcW w:w="892" w:type="dxa"/>
            <w:tcBorders>
              <w:top w:val="single" w:sz="2" w:space="0" w:color="FF777C"/>
              <w:left w:val="nil"/>
              <w:bottom w:val="nil"/>
              <w:right w:val="nil"/>
            </w:tcBorders>
            <w:tcMar>
              <w:top w:w="45" w:type="dxa"/>
              <w:left w:w="0" w:type="dxa"/>
              <w:bottom w:w="56" w:type="dxa"/>
              <w:right w:w="0" w:type="dxa"/>
            </w:tcMar>
            <w:vAlign w:val="bottom"/>
          </w:tcPr>
          <w:p w14:paraId="689EDB79" w14:textId="77777777" w:rsidR="0062640D" w:rsidRDefault="0062640D"/>
        </w:tc>
        <w:tc>
          <w:tcPr>
            <w:tcW w:w="892" w:type="dxa"/>
            <w:tcBorders>
              <w:top w:val="single" w:sz="2" w:space="0" w:color="FF777C"/>
              <w:left w:val="nil"/>
              <w:bottom w:val="nil"/>
              <w:right w:val="nil"/>
            </w:tcBorders>
            <w:tcMar>
              <w:top w:w="45" w:type="dxa"/>
              <w:left w:w="0" w:type="dxa"/>
              <w:bottom w:w="56" w:type="dxa"/>
              <w:right w:w="0" w:type="dxa"/>
            </w:tcMar>
            <w:vAlign w:val="bottom"/>
          </w:tcPr>
          <w:p w14:paraId="3156A074" w14:textId="77777777" w:rsidR="0062640D" w:rsidRDefault="0062640D"/>
        </w:tc>
        <w:tc>
          <w:tcPr>
            <w:tcW w:w="892" w:type="dxa"/>
            <w:tcBorders>
              <w:top w:val="single" w:sz="2" w:space="0" w:color="FF777C"/>
              <w:left w:val="nil"/>
              <w:bottom w:val="nil"/>
              <w:right w:val="nil"/>
            </w:tcBorders>
            <w:tcMar>
              <w:top w:w="45" w:type="dxa"/>
              <w:left w:w="0" w:type="dxa"/>
              <w:bottom w:w="56" w:type="dxa"/>
              <w:right w:w="0" w:type="dxa"/>
            </w:tcMar>
            <w:vAlign w:val="bottom"/>
          </w:tcPr>
          <w:p w14:paraId="63564067" w14:textId="77777777" w:rsidR="0062640D" w:rsidRDefault="0062640D"/>
        </w:tc>
      </w:tr>
      <w:tr w:rsidR="0062640D" w14:paraId="412978F7" w14:textId="77777777">
        <w:tc>
          <w:tcPr>
            <w:tcW w:w="2892" w:type="dxa"/>
            <w:tcBorders>
              <w:top w:val="nil"/>
              <w:left w:val="nil"/>
              <w:bottom w:val="single" w:sz="6" w:space="0" w:color="FF777C"/>
              <w:right w:val="nil"/>
            </w:tcBorders>
            <w:tcMar>
              <w:top w:w="45" w:type="dxa"/>
              <w:left w:w="0" w:type="dxa"/>
              <w:bottom w:w="56" w:type="dxa"/>
              <w:right w:w="0" w:type="dxa"/>
            </w:tcMar>
            <w:vAlign w:val="bottom"/>
          </w:tcPr>
          <w:p w14:paraId="1897DC30" w14:textId="33394DD8" w:rsidR="0062640D" w:rsidRDefault="00BD5A74">
            <w:pPr>
              <w:pStyle w:val="Heading-2"/>
            </w:pPr>
            <w:r w:rsidRPr="006B0F6B">
              <w:t>Total liabilities excluding derivatives, provision for liabilities and tax liabilities</w:t>
            </w:r>
          </w:p>
        </w:tc>
        <w:tc>
          <w:tcPr>
            <w:tcW w:w="892" w:type="dxa"/>
            <w:tcBorders>
              <w:top w:val="nil"/>
              <w:left w:val="nil"/>
              <w:bottom w:val="single" w:sz="6" w:space="0" w:color="FF777C"/>
              <w:right w:val="nil"/>
            </w:tcBorders>
            <w:tcMar>
              <w:top w:w="45" w:type="dxa"/>
              <w:left w:w="0" w:type="dxa"/>
              <w:bottom w:w="56" w:type="dxa"/>
              <w:right w:w="0" w:type="dxa"/>
            </w:tcMar>
            <w:vAlign w:val="bottom"/>
          </w:tcPr>
          <w:p w14:paraId="14E6D4F6" w14:textId="0B62DC59" w:rsidR="0062640D" w:rsidRDefault="00C12A80">
            <w:pPr>
              <w:pStyle w:val="AccountsBold"/>
            </w:pPr>
            <w:r>
              <w:t>534,85</w:t>
            </w:r>
            <w:r w:rsidR="00BD5A74">
              <w:t>8</w:t>
            </w:r>
          </w:p>
        </w:tc>
        <w:tc>
          <w:tcPr>
            <w:tcW w:w="892" w:type="dxa"/>
            <w:tcBorders>
              <w:top w:val="nil"/>
              <w:left w:val="nil"/>
              <w:bottom w:val="single" w:sz="6" w:space="0" w:color="FF777C"/>
              <w:right w:val="nil"/>
            </w:tcBorders>
            <w:tcMar>
              <w:top w:w="45" w:type="dxa"/>
              <w:left w:w="0" w:type="dxa"/>
              <w:bottom w:w="56" w:type="dxa"/>
              <w:right w:w="0" w:type="dxa"/>
            </w:tcMar>
            <w:vAlign w:val="bottom"/>
          </w:tcPr>
          <w:p w14:paraId="7684ABB1" w14:textId="77777777" w:rsidR="0062640D" w:rsidRDefault="00C12A80">
            <w:pPr>
              <w:pStyle w:val="AccountsBold"/>
            </w:pPr>
            <w:r>
              <w:t>514,037</w:t>
            </w:r>
          </w:p>
        </w:tc>
        <w:tc>
          <w:tcPr>
            <w:tcW w:w="892" w:type="dxa"/>
            <w:tcBorders>
              <w:top w:val="nil"/>
              <w:left w:val="nil"/>
              <w:bottom w:val="single" w:sz="6" w:space="0" w:color="FF777C"/>
              <w:right w:val="nil"/>
            </w:tcBorders>
            <w:tcMar>
              <w:top w:w="45" w:type="dxa"/>
              <w:left w:w="0" w:type="dxa"/>
              <w:bottom w:w="56" w:type="dxa"/>
              <w:right w:w="0" w:type="dxa"/>
            </w:tcMar>
            <w:vAlign w:val="bottom"/>
          </w:tcPr>
          <w:p w14:paraId="5ABBACB2" w14:textId="77777777" w:rsidR="0062640D" w:rsidRDefault="00C12A80">
            <w:pPr>
              <w:pStyle w:val="AccountsBold"/>
            </w:pPr>
            <w:r>
              <w:t>89,718</w:t>
            </w:r>
          </w:p>
        </w:tc>
        <w:tc>
          <w:tcPr>
            <w:tcW w:w="892" w:type="dxa"/>
            <w:tcBorders>
              <w:top w:val="nil"/>
              <w:left w:val="nil"/>
              <w:bottom w:val="single" w:sz="6" w:space="0" w:color="FF777C"/>
              <w:right w:val="nil"/>
            </w:tcBorders>
            <w:tcMar>
              <w:top w:w="45" w:type="dxa"/>
              <w:left w:w="0" w:type="dxa"/>
              <w:bottom w:w="56" w:type="dxa"/>
              <w:right w:w="0" w:type="dxa"/>
            </w:tcMar>
            <w:vAlign w:val="bottom"/>
          </w:tcPr>
          <w:p w14:paraId="6CDD0B31" w14:textId="64BF3850" w:rsidR="0062640D" w:rsidRDefault="00C12A80">
            <w:pPr>
              <w:pStyle w:val="AccountsBold"/>
            </w:pPr>
            <w:r>
              <w:t>1,138,61</w:t>
            </w:r>
            <w:r w:rsidR="00BD5A74">
              <w:t>3</w:t>
            </w:r>
          </w:p>
        </w:tc>
        <w:tc>
          <w:tcPr>
            <w:tcW w:w="60" w:type="dxa"/>
            <w:tcBorders>
              <w:top w:val="none" w:sz="8" w:space="0" w:color="auto"/>
              <w:left w:val="nil"/>
              <w:bottom w:val="none" w:sz="8" w:space="0" w:color="auto"/>
              <w:right w:val="nil"/>
            </w:tcBorders>
            <w:tcMar>
              <w:top w:w="45" w:type="dxa"/>
              <w:left w:w="0" w:type="dxa"/>
              <w:bottom w:w="56" w:type="dxa"/>
              <w:right w:w="0" w:type="dxa"/>
            </w:tcMar>
            <w:vAlign w:val="bottom"/>
          </w:tcPr>
          <w:p w14:paraId="77035188" w14:textId="77777777" w:rsidR="0062640D" w:rsidRDefault="0062640D"/>
        </w:tc>
        <w:tc>
          <w:tcPr>
            <w:tcW w:w="892" w:type="dxa"/>
            <w:tcBorders>
              <w:top w:val="nil"/>
              <w:left w:val="nil"/>
              <w:bottom w:val="single" w:sz="6" w:space="0" w:color="FF777C"/>
              <w:right w:val="nil"/>
            </w:tcBorders>
            <w:tcMar>
              <w:top w:w="45" w:type="dxa"/>
              <w:left w:w="0" w:type="dxa"/>
              <w:bottom w:w="56" w:type="dxa"/>
              <w:right w:w="0" w:type="dxa"/>
            </w:tcMar>
            <w:vAlign w:val="bottom"/>
          </w:tcPr>
          <w:p w14:paraId="555BBC7A" w14:textId="77777777" w:rsidR="0062640D" w:rsidRDefault="00C12A80">
            <w:pPr>
              <w:pStyle w:val="Accounts"/>
            </w:pPr>
            <w:r>
              <w:t>359,220</w:t>
            </w:r>
          </w:p>
        </w:tc>
        <w:tc>
          <w:tcPr>
            <w:tcW w:w="892" w:type="dxa"/>
            <w:tcBorders>
              <w:top w:val="nil"/>
              <w:left w:val="nil"/>
              <w:bottom w:val="single" w:sz="6" w:space="0" w:color="FF777C"/>
              <w:right w:val="nil"/>
            </w:tcBorders>
            <w:tcMar>
              <w:top w:w="45" w:type="dxa"/>
              <w:left w:w="0" w:type="dxa"/>
              <w:bottom w:w="56" w:type="dxa"/>
              <w:right w:w="0" w:type="dxa"/>
            </w:tcMar>
            <w:vAlign w:val="bottom"/>
          </w:tcPr>
          <w:p w14:paraId="3B5A67B7" w14:textId="77777777" w:rsidR="0062640D" w:rsidRDefault="00C12A80">
            <w:pPr>
              <w:pStyle w:val="Accounts"/>
            </w:pPr>
            <w:r>
              <w:t>586,069</w:t>
            </w:r>
          </w:p>
        </w:tc>
        <w:tc>
          <w:tcPr>
            <w:tcW w:w="892" w:type="dxa"/>
            <w:tcBorders>
              <w:top w:val="nil"/>
              <w:left w:val="nil"/>
              <w:bottom w:val="single" w:sz="6" w:space="0" w:color="FF777C"/>
              <w:right w:val="nil"/>
            </w:tcBorders>
            <w:tcMar>
              <w:top w:w="45" w:type="dxa"/>
              <w:left w:w="0" w:type="dxa"/>
              <w:bottom w:w="56" w:type="dxa"/>
              <w:right w:w="0" w:type="dxa"/>
            </w:tcMar>
            <w:vAlign w:val="bottom"/>
          </w:tcPr>
          <w:p w14:paraId="1649B7B1" w14:textId="77777777" w:rsidR="0062640D" w:rsidRDefault="00C12A80">
            <w:pPr>
              <w:pStyle w:val="Accounts"/>
            </w:pPr>
            <w:r>
              <w:t>94,093</w:t>
            </w:r>
          </w:p>
        </w:tc>
        <w:tc>
          <w:tcPr>
            <w:tcW w:w="892" w:type="dxa"/>
            <w:tcBorders>
              <w:top w:val="nil"/>
              <w:left w:val="nil"/>
              <w:bottom w:val="single" w:sz="6" w:space="0" w:color="FF777C"/>
              <w:right w:val="nil"/>
            </w:tcBorders>
            <w:tcMar>
              <w:top w:w="45" w:type="dxa"/>
              <w:left w:w="0" w:type="dxa"/>
              <w:bottom w:w="56" w:type="dxa"/>
              <w:right w:w="0" w:type="dxa"/>
            </w:tcMar>
            <w:vAlign w:val="bottom"/>
          </w:tcPr>
          <w:p w14:paraId="2518BD78" w14:textId="77777777" w:rsidR="0062640D" w:rsidRDefault="00C12A80">
            <w:pPr>
              <w:pStyle w:val="Accounts"/>
            </w:pPr>
            <w:r>
              <w:t>1,039,382</w:t>
            </w:r>
          </w:p>
        </w:tc>
      </w:tr>
      <w:tr w:rsidR="0062640D" w14:paraId="0EF4F63D" w14:textId="77777777">
        <w:tc>
          <w:tcPr>
            <w:tcW w:w="2892" w:type="dxa"/>
            <w:tcBorders>
              <w:top w:val="single" w:sz="6" w:space="0" w:color="FF777C"/>
              <w:left w:val="nil"/>
              <w:bottom w:val="nil"/>
              <w:right w:val="nil"/>
            </w:tcBorders>
            <w:tcMar>
              <w:top w:w="45" w:type="dxa"/>
              <w:left w:w="0" w:type="dxa"/>
              <w:bottom w:w="56" w:type="dxa"/>
              <w:right w:w="0" w:type="dxa"/>
            </w:tcMar>
            <w:vAlign w:val="bottom"/>
          </w:tcPr>
          <w:p w14:paraId="6F12636F" w14:textId="77777777" w:rsidR="0062640D" w:rsidRDefault="0062640D"/>
        </w:tc>
        <w:tc>
          <w:tcPr>
            <w:tcW w:w="892" w:type="dxa"/>
            <w:tcBorders>
              <w:top w:val="single" w:sz="6" w:space="0" w:color="FF777C"/>
              <w:left w:val="nil"/>
              <w:bottom w:val="nil"/>
              <w:right w:val="nil"/>
            </w:tcBorders>
            <w:tcMar>
              <w:top w:w="45" w:type="dxa"/>
              <w:left w:w="0" w:type="dxa"/>
              <w:bottom w:w="56" w:type="dxa"/>
              <w:right w:w="0" w:type="dxa"/>
            </w:tcMar>
            <w:vAlign w:val="bottom"/>
          </w:tcPr>
          <w:p w14:paraId="2F7D9302" w14:textId="77777777" w:rsidR="0062640D" w:rsidRDefault="0062640D"/>
        </w:tc>
        <w:tc>
          <w:tcPr>
            <w:tcW w:w="892" w:type="dxa"/>
            <w:tcBorders>
              <w:top w:val="single" w:sz="6" w:space="0" w:color="FF777C"/>
              <w:left w:val="nil"/>
              <w:bottom w:val="nil"/>
              <w:right w:val="nil"/>
            </w:tcBorders>
            <w:tcMar>
              <w:top w:w="45" w:type="dxa"/>
              <w:left w:w="0" w:type="dxa"/>
              <w:bottom w:w="56" w:type="dxa"/>
              <w:right w:w="0" w:type="dxa"/>
            </w:tcMar>
            <w:vAlign w:val="bottom"/>
          </w:tcPr>
          <w:p w14:paraId="7F7D8CF6" w14:textId="77777777" w:rsidR="0062640D" w:rsidRDefault="0062640D"/>
        </w:tc>
        <w:tc>
          <w:tcPr>
            <w:tcW w:w="892" w:type="dxa"/>
            <w:tcBorders>
              <w:top w:val="single" w:sz="6" w:space="0" w:color="FF777C"/>
              <w:left w:val="nil"/>
              <w:bottom w:val="nil"/>
              <w:right w:val="nil"/>
            </w:tcBorders>
            <w:tcMar>
              <w:top w:w="45" w:type="dxa"/>
              <w:left w:w="0" w:type="dxa"/>
              <w:bottom w:w="56" w:type="dxa"/>
              <w:right w:w="0" w:type="dxa"/>
            </w:tcMar>
            <w:vAlign w:val="bottom"/>
          </w:tcPr>
          <w:p w14:paraId="0E95C663" w14:textId="77777777" w:rsidR="0062640D" w:rsidRDefault="0062640D"/>
        </w:tc>
        <w:tc>
          <w:tcPr>
            <w:tcW w:w="892" w:type="dxa"/>
            <w:tcBorders>
              <w:top w:val="single" w:sz="6" w:space="0" w:color="FF777C"/>
              <w:left w:val="nil"/>
              <w:bottom w:val="nil"/>
              <w:right w:val="nil"/>
            </w:tcBorders>
            <w:tcMar>
              <w:top w:w="45" w:type="dxa"/>
              <w:left w:w="0" w:type="dxa"/>
              <w:bottom w:w="56" w:type="dxa"/>
              <w:right w:w="0" w:type="dxa"/>
            </w:tcMar>
            <w:vAlign w:val="bottom"/>
          </w:tcPr>
          <w:p w14:paraId="22E87199" w14:textId="77777777" w:rsidR="0062640D" w:rsidRDefault="0062640D"/>
        </w:tc>
        <w:tc>
          <w:tcPr>
            <w:tcW w:w="60" w:type="dxa"/>
            <w:tcBorders>
              <w:top w:val="none" w:sz="8" w:space="0" w:color="auto"/>
              <w:left w:val="nil"/>
              <w:bottom w:val="none" w:sz="8" w:space="0" w:color="auto"/>
              <w:right w:val="nil"/>
            </w:tcBorders>
            <w:tcMar>
              <w:top w:w="45" w:type="dxa"/>
              <w:left w:w="0" w:type="dxa"/>
              <w:bottom w:w="56" w:type="dxa"/>
              <w:right w:w="0" w:type="dxa"/>
            </w:tcMar>
            <w:vAlign w:val="bottom"/>
          </w:tcPr>
          <w:p w14:paraId="4A5AC5CF" w14:textId="77777777" w:rsidR="0062640D" w:rsidRDefault="0062640D"/>
        </w:tc>
        <w:tc>
          <w:tcPr>
            <w:tcW w:w="892" w:type="dxa"/>
            <w:tcBorders>
              <w:top w:val="single" w:sz="6" w:space="0" w:color="FF777C"/>
              <w:left w:val="nil"/>
              <w:bottom w:val="nil"/>
              <w:right w:val="nil"/>
            </w:tcBorders>
            <w:tcMar>
              <w:top w:w="45" w:type="dxa"/>
              <w:left w:w="0" w:type="dxa"/>
              <w:bottom w:w="56" w:type="dxa"/>
              <w:right w:w="0" w:type="dxa"/>
            </w:tcMar>
            <w:vAlign w:val="bottom"/>
          </w:tcPr>
          <w:p w14:paraId="17637E21" w14:textId="77777777" w:rsidR="0062640D" w:rsidRDefault="0062640D"/>
        </w:tc>
        <w:tc>
          <w:tcPr>
            <w:tcW w:w="892" w:type="dxa"/>
            <w:tcBorders>
              <w:top w:val="single" w:sz="6" w:space="0" w:color="FF777C"/>
              <w:left w:val="nil"/>
              <w:bottom w:val="nil"/>
              <w:right w:val="nil"/>
            </w:tcBorders>
            <w:tcMar>
              <w:top w:w="45" w:type="dxa"/>
              <w:left w:w="0" w:type="dxa"/>
              <w:bottom w:w="56" w:type="dxa"/>
              <w:right w:w="0" w:type="dxa"/>
            </w:tcMar>
            <w:vAlign w:val="bottom"/>
          </w:tcPr>
          <w:p w14:paraId="5EEA68FD" w14:textId="77777777" w:rsidR="0062640D" w:rsidRDefault="0062640D"/>
        </w:tc>
        <w:tc>
          <w:tcPr>
            <w:tcW w:w="892" w:type="dxa"/>
            <w:tcBorders>
              <w:top w:val="single" w:sz="6" w:space="0" w:color="FF777C"/>
              <w:left w:val="nil"/>
              <w:bottom w:val="nil"/>
              <w:right w:val="nil"/>
            </w:tcBorders>
            <w:tcMar>
              <w:top w:w="45" w:type="dxa"/>
              <w:left w:w="0" w:type="dxa"/>
              <w:bottom w:w="56" w:type="dxa"/>
              <w:right w:w="0" w:type="dxa"/>
            </w:tcMar>
            <w:vAlign w:val="bottom"/>
          </w:tcPr>
          <w:p w14:paraId="61CAAA2B" w14:textId="77777777" w:rsidR="0062640D" w:rsidRDefault="0062640D"/>
        </w:tc>
        <w:tc>
          <w:tcPr>
            <w:tcW w:w="892" w:type="dxa"/>
            <w:tcBorders>
              <w:top w:val="single" w:sz="6" w:space="0" w:color="FF777C"/>
              <w:left w:val="nil"/>
              <w:bottom w:val="nil"/>
              <w:right w:val="nil"/>
            </w:tcBorders>
            <w:tcMar>
              <w:top w:w="45" w:type="dxa"/>
              <w:left w:w="0" w:type="dxa"/>
              <w:bottom w:w="56" w:type="dxa"/>
              <w:right w:w="0" w:type="dxa"/>
            </w:tcMar>
            <w:vAlign w:val="bottom"/>
          </w:tcPr>
          <w:p w14:paraId="36EF21EB" w14:textId="77777777" w:rsidR="0062640D" w:rsidRDefault="0062640D"/>
        </w:tc>
      </w:tr>
      <w:tr w:rsidR="0062640D" w14:paraId="58A6DDB4" w14:textId="77777777">
        <w:tc>
          <w:tcPr>
            <w:tcW w:w="2892" w:type="dxa"/>
            <w:tcBorders>
              <w:top w:val="nil"/>
              <w:left w:val="nil"/>
              <w:bottom w:val="nil"/>
              <w:right w:val="nil"/>
            </w:tcBorders>
            <w:tcMar>
              <w:top w:w="45" w:type="dxa"/>
              <w:left w:w="0" w:type="dxa"/>
              <w:bottom w:w="56" w:type="dxa"/>
              <w:right w:w="0" w:type="dxa"/>
            </w:tcMar>
            <w:vAlign w:val="bottom"/>
          </w:tcPr>
          <w:p w14:paraId="669728AC" w14:textId="77777777" w:rsidR="0062640D" w:rsidRDefault="00C12A80">
            <w:r>
              <w:t>Provision for liabilities</w:t>
            </w:r>
          </w:p>
        </w:tc>
        <w:tc>
          <w:tcPr>
            <w:tcW w:w="892" w:type="dxa"/>
            <w:tcBorders>
              <w:top w:val="nil"/>
              <w:left w:val="nil"/>
              <w:bottom w:val="nil"/>
              <w:right w:val="nil"/>
            </w:tcBorders>
            <w:tcMar>
              <w:top w:w="45" w:type="dxa"/>
              <w:left w:w="0" w:type="dxa"/>
              <w:bottom w:w="56" w:type="dxa"/>
              <w:right w:w="0" w:type="dxa"/>
            </w:tcMar>
            <w:vAlign w:val="bottom"/>
          </w:tcPr>
          <w:p w14:paraId="50003642" w14:textId="77777777" w:rsidR="0062640D" w:rsidRDefault="0062640D"/>
        </w:tc>
        <w:tc>
          <w:tcPr>
            <w:tcW w:w="892" w:type="dxa"/>
            <w:tcBorders>
              <w:top w:val="nil"/>
              <w:left w:val="nil"/>
              <w:bottom w:val="nil"/>
              <w:right w:val="nil"/>
            </w:tcBorders>
            <w:tcMar>
              <w:top w:w="45" w:type="dxa"/>
              <w:left w:w="0" w:type="dxa"/>
              <w:bottom w:w="56" w:type="dxa"/>
              <w:right w:w="0" w:type="dxa"/>
            </w:tcMar>
            <w:vAlign w:val="bottom"/>
          </w:tcPr>
          <w:p w14:paraId="332E71C5" w14:textId="77777777" w:rsidR="0062640D" w:rsidRDefault="0062640D"/>
        </w:tc>
        <w:tc>
          <w:tcPr>
            <w:tcW w:w="892" w:type="dxa"/>
            <w:tcBorders>
              <w:top w:val="nil"/>
              <w:left w:val="nil"/>
              <w:bottom w:val="nil"/>
              <w:right w:val="nil"/>
            </w:tcBorders>
            <w:tcMar>
              <w:top w:w="45" w:type="dxa"/>
              <w:left w:w="0" w:type="dxa"/>
              <w:bottom w:w="56" w:type="dxa"/>
              <w:right w:w="0" w:type="dxa"/>
            </w:tcMar>
            <w:vAlign w:val="bottom"/>
          </w:tcPr>
          <w:p w14:paraId="17CF6CB5" w14:textId="77777777" w:rsidR="0062640D" w:rsidRDefault="0062640D"/>
        </w:tc>
        <w:tc>
          <w:tcPr>
            <w:tcW w:w="892" w:type="dxa"/>
            <w:tcBorders>
              <w:top w:val="nil"/>
              <w:left w:val="nil"/>
              <w:bottom w:val="nil"/>
              <w:right w:val="nil"/>
            </w:tcBorders>
            <w:tcMar>
              <w:top w:w="45" w:type="dxa"/>
              <w:left w:w="0" w:type="dxa"/>
              <w:bottom w:w="56" w:type="dxa"/>
              <w:right w:w="0" w:type="dxa"/>
            </w:tcMar>
            <w:vAlign w:val="bottom"/>
          </w:tcPr>
          <w:p w14:paraId="0B8A22F0" w14:textId="77777777" w:rsidR="0062640D" w:rsidRDefault="00C12A80">
            <w:pPr>
              <w:pStyle w:val="AccountsBold"/>
            </w:pPr>
            <w:r>
              <w:t>8,048</w:t>
            </w:r>
          </w:p>
        </w:tc>
        <w:tc>
          <w:tcPr>
            <w:tcW w:w="60" w:type="dxa"/>
            <w:tcBorders>
              <w:top w:val="none" w:sz="8" w:space="0" w:color="auto"/>
              <w:left w:val="nil"/>
              <w:bottom w:val="none" w:sz="8" w:space="0" w:color="auto"/>
              <w:right w:val="nil"/>
            </w:tcBorders>
            <w:tcMar>
              <w:top w:w="45" w:type="dxa"/>
              <w:left w:w="0" w:type="dxa"/>
              <w:bottom w:w="56" w:type="dxa"/>
              <w:right w:w="0" w:type="dxa"/>
            </w:tcMar>
            <w:vAlign w:val="bottom"/>
          </w:tcPr>
          <w:p w14:paraId="4D6B1A18" w14:textId="77777777" w:rsidR="0062640D" w:rsidRDefault="0062640D"/>
        </w:tc>
        <w:tc>
          <w:tcPr>
            <w:tcW w:w="892" w:type="dxa"/>
            <w:tcBorders>
              <w:top w:val="nil"/>
              <w:left w:val="nil"/>
              <w:bottom w:val="nil"/>
              <w:right w:val="nil"/>
            </w:tcBorders>
            <w:tcMar>
              <w:top w:w="45" w:type="dxa"/>
              <w:left w:w="0" w:type="dxa"/>
              <w:bottom w:w="56" w:type="dxa"/>
              <w:right w:w="0" w:type="dxa"/>
            </w:tcMar>
            <w:vAlign w:val="bottom"/>
          </w:tcPr>
          <w:p w14:paraId="20D4DA72" w14:textId="77777777" w:rsidR="0062640D" w:rsidRDefault="0062640D"/>
        </w:tc>
        <w:tc>
          <w:tcPr>
            <w:tcW w:w="892" w:type="dxa"/>
            <w:tcBorders>
              <w:top w:val="nil"/>
              <w:left w:val="nil"/>
              <w:bottom w:val="nil"/>
              <w:right w:val="nil"/>
            </w:tcBorders>
            <w:tcMar>
              <w:top w:w="45" w:type="dxa"/>
              <w:left w:w="0" w:type="dxa"/>
              <w:bottom w:w="56" w:type="dxa"/>
              <w:right w:w="0" w:type="dxa"/>
            </w:tcMar>
            <w:vAlign w:val="bottom"/>
          </w:tcPr>
          <w:p w14:paraId="20CD0515" w14:textId="77777777" w:rsidR="0062640D" w:rsidRDefault="0062640D"/>
        </w:tc>
        <w:tc>
          <w:tcPr>
            <w:tcW w:w="892" w:type="dxa"/>
            <w:tcBorders>
              <w:top w:val="nil"/>
              <w:left w:val="nil"/>
              <w:bottom w:val="nil"/>
              <w:right w:val="nil"/>
            </w:tcBorders>
            <w:tcMar>
              <w:top w:w="45" w:type="dxa"/>
              <w:left w:w="0" w:type="dxa"/>
              <w:bottom w:w="56" w:type="dxa"/>
              <w:right w:w="0" w:type="dxa"/>
            </w:tcMar>
            <w:vAlign w:val="bottom"/>
          </w:tcPr>
          <w:p w14:paraId="7448BCE9" w14:textId="77777777" w:rsidR="0062640D" w:rsidRDefault="0062640D"/>
        </w:tc>
        <w:tc>
          <w:tcPr>
            <w:tcW w:w="892" w:type="dxa"/>
            <w:tcBorders>
              <w:top w:val="nil"/>
              <w:left w:val="nil"/>
              <w:bottom w:val="nil"/>
              <w:right w:val="nil"/>
            </w:tcBorders>
            <w:tcMar>
              <w:top w:w="45" w:type="dxa"/>
              <w:left w:w="0" w:type="dxa"/>
              <w:bottom w:w="56" w:type="dxa"/>
              <w:right w:w="0" w:type="dxa"/>
            </w:tcMar>
            <w:vAlign w:val="bottom"/>
          </w:tcPr>
          <w:p w14:paraId="25841F06" w14:textId="77777777" w:rsidR="0062640D" w:rsidRDefault="00C12A80">
            <w:pPr>
              <w:pStyle w:val="Accounts"/>
            </w:pPr>
            <w:r>
              <w:t>8,611</w:t>
            </w:r>
          </w:p>
        </w:tc>
      </w:tr>
      <w:tr w:rsidR="0062640D" w14:paraId="23630BF7" w14:textId="77777777">
        <w:tc>
          <w:tcPr>
            <w:tcW w:w="2892" w:type="dxa"/>
            <w:tcBorders>
              <w:top w:val="nil"/>
              <w:left w:val="nil"/>
              <w:bottom w:val="nil"/>
              <w:right w:val="nil"/>
            </w:tcBorders>
            <w:tcMar>
              <w:top w:w="45" w:type="dxa"/>
              <w:left w:w="0" w:type="dxa"/>
              <w:bottom w:w="56" w:type="dxa"/>
              <w:right w:w="0" w:type="dxa"/>
            </w:tcMar>
            <w:vAlign w:val="bottom"/>
          </w:tcPr>
          <w:p w14:paraId="149428E5" w14:textId="77777777" w:rsidR="0062640D" w:rsidRDefault="00C12A80">
            <w:r>
              <w:t>Current tax liabilities</w:t>
            </w:r>
          </w:p>
        </w:tc>
        <w:tc>
          <w:tcPr>
            <w:tcW w:w="892" w:type="dxa"/>
            <w:tcBorders>
              <w:top w:val="nil"/>
              <w:left w:val="nil"/>
              <w:bottom w:val="nil"/>
              <w:right w:val="nil"/>
            </w:tcBorders>
            <w:tcMar>
              <w:top w:w="45" w:type="dxa"/>
              <w:left w:w="0" w:type="dxa"/>
              <w:bottom w:w="56" w:type="dxa"/>
              <w:right w:w="0" w:type="dxa"/>
            </w:tcMar>
            <w:vAlign w:val="bottom"/>
          </w:tcPr>
          <w:p w14:paraId="12F19F41" w14:textId="77777777" w:rsidR="0062640D" w:rsidRDefault="0062640D"/>
        </w:tc>
        <w:tc>
          <w:tcPr>
            <w:tcW w:w="892" w:type="dxa"/>
            <w:tcBorders>
              <w:top w:val="nil"/>
              <w:left w:val="nil"/>
              <w:bottom w:val="nil"/>
              <w:right w:val="nil"/>
            </w:tcBorders>
            <w:tcMar>
              <w:top w:w="45" w:type="dxa"/>
              <w:left w:w="0" w:type="dxa"/>
              <w:bottom w:w="56" w:type="dxa"/>
              <w:right w:w="0" w:type="dxa"/>
            </w:tcMar>
            <w:vAlign w:val="bottom"/>
          </w:tcPr>
          <w:p w14:paraId="5A772DB8" w14:textId="77777777" w:rsidR="0062640D" w:rsidRDefault="0062640D"/>
        </w:tc>
        <w:tc>
          <w:tcPr>
            <w:tcW w:w="892" w:type="dxa"/>
            <w:tcBorders>
              <w:top w:val="nil"/>
              <w:left w:val="nil"/>
              <w:bottom w:val="nil"/>
              <w:right w:val="nil"/>
            </w:tcBorders>
            <w:tcMar>
              <w:top w:w="45" w:type="dxa"/>
              <w:left w:w="0" w:type="dxa"/>
              <w:bottom w:w="56" w:type="dxa"/>
              <w:right w:w="0" w:type="dxa"/>
            </w:tcMar>
            <w:vAlign w:val="bottom"/>
          </w:tcPr>
          <w:p w14:paraId="2921D306" w14:textId="77777777" w:rsidR="0062640D" w:rsidRDefault="0062640D"/>
        </w:tc>
        <w:tc>
          <w:tcPr>
            <w:tcW w:w="892" w:type="dxa"/>
            <w:tcBorders>
              <w:top w:val="nil"/>
              <w:left w:val="nil"/>
              <w:bottom w:val="nil"/>
              <w:right w:val="nil"/>
            </w:tcBorders>
            <w:tcMar>
              <w:top w:w="45" w:type="dxa"/>
              <w:left w:w="0" w:type="dxa"/>
              <w:bottom w:w="56" w:type="dxa"/>
              <w:right w:w="0" w:type="dxa"/>
            </w:tcMar>
            <w:vAlign w:val="bottom"/>
          </w:tcPr>
          <w:p w14:paraId="11A9453B" w14:textId="77777777" w:rsidR="0062640D" w:rsidRDefault="00C12A80">
            <w:pPr>
              <w:pStyle w:val="AccountsBold"/>
            </w:pPr>
            <w:r>
              <w:t>1,576</w:t>
            </w:r>
          </w:p>
        </w:tc>
        <w:tc>
          <w:tcPr>
            <w:tcW w:w="60" w:type="dxa"/>
            <w:tcBorders>
              <w:top w:val="none" w:sz="8" w:space="0" w:color="auto"/>
              <w:left w:val="nil"/>
              <w:bottom w:val="none" w:sz="8" w:space="0" w:color="auto"/>
              <w:right w:val="nil"/>
            </w:tcBorders>
            <w:tcMar>
              <w:top w:w="45" w:type="dxa"/>
              <w:left w:w="0" w:type="dxa"/>
              <w:bottom w:w="56" w:type="dxa"/>
              <w:right w:w="0" w:type="dxa"/>
            </w:tcMar>
            <w:vAlign w:val="bottom"/>
          </w:tcPr>
          <w:p w14:paraId="25D196D1" w14:textId="77777777" w:rsidR="0062640D" w:rsidRDefault="0062640D"/>
        </w:tc>
        <w:tc>
          <w:tcPr>
            <w:tcW w:w="892" w:type="dxa"/>
            <w:tcBorders>
              <w:top w:val="nil"/>
              <w:left w:val="nil"/>
              <w:bottom w:val="nil"/>
              <w:right w:val="nil"/>
            </w:tcBorders>
            <w:tcMar>
              <w:top w:w="45" w:type="dxa"/>
              <w:left w:w="0" w:type="dxa"/>
              <w:bottom w:w="56" w:type="dxa"/>
              <w:right w:w="0" w:type="dxa"/>
            </w:tcMar>
            <w:vAlign w:val="bottom"/>
          </w:tcPr>
          <w:p w14:paraId="7493941C" w14:textId="77777777" w:rsidR="0062640D" w:rsidRDefault="0062640D"/>
        </w:tc>
        <w:tc>
          <w:tcPr>
            <w:tcW w:w="892" w:type="dxa"/>
            <w:tcBorders>
              <w:top w:val="nil"/>
              <w:left w:val="nil"/>
              <w:bottom w:val="nil"/>
              <w:right w:val="nil"/>
            </w:tcBorders>
            <w:tcMar>
              <w:top w:w="45" w:type="dxa"/>
              <w:left w:w="0" w:type="dxa"/>
              <w:bottom w:w="56" w:type="dxa"/>
              <w:right w:w="0" w:type="dxa"/>
            </w:tcMar>
            <w:vAlign w:val="bottom"/>
          </w:tcPr>
          <w:p w14:paraId="5CA5DB40" w14:textId="77777777" w:rsidR="0062640D" w:rsidRDefault="0062640D"/>
        </w:tc>
        <w:tc>
          <w:tcPr>
            <w:tcW w:w="892" w:type="dxa"/>
            <w:tcBorders>
              <w:top w:val="nil"/>
              <w:left w:val="nil"/>
              <w:bottom w:val="nil"/>
              <w:right w:val="nil"/>
            </w:tcBorders>
            <w:tcMar>
              <w:top w:w="45" w:type="dxa"/>
              <w:left w:w="0" w:type="dxa"/>
              <w:bottom w:w="56" w:type="dxa"/>
              <w:right w:w="0" w:type="dxa"/>
            </w:tcMar>
            <w:vAlign w:val="bottom"/>
          </w:tcPr>
          <w:p w14:paraId="61D90170" w14:textId="77777777" w:rsidR="0062640D" w:rsidRDefault="0062640D"/>
        </w:tc>
        <w:tc>
          <w:tcPr>
            <w:tcW w:w="892" w:type="dxa"/>
            <w:tcBorders>
              <w:top w:val="nil"/>
              <w:left w:val="nil"/>
              <w:bottom w:val="nil"/>
              <w:right w:val="nil"/>
            </w:tcBorders>
            <w:tcMar>
              <w:top w:w="45" w:type="dxa"/>
              <w:left w:w="0" w:type="dxa"/>
              <w:bottom w:w="56" w:type="dxa"/>
              <w:right w:w="0" w:type="dxa"/>
            </w:tcMar>
            <w:vAlign w:val="bottom"/>
          </w:tcPr>
          <w:p w14:paraId="5D1901B3" w14:textId="77777777" w:rsidR="0062640D" w:rsidRDefault="00C12A80">
            <w:pPr>
              <w:pStyle w:val="Accounts"/>
            </w:pPr>
            <w:r>
              <w:t>2,659</w:t>
            </w:r>
          </w:p>
        </w:tc>
      </w:tr>
      <w:tr w:rsidR="0062640D" w14:paraId="3E80BF65" w14:textId="77777777">
        <w:tc>
          <w:tcPr>
            <w:tcW w:w="2892" w:type="dxa"/>
            <w:tcBorders>
              <w:top w:val="nil"/>
              <w:left w:val="nil"/>
              <w:bottom w:val="nil"/>
              <w:right w:val="nil"/>
            </w:tcBorders>
            <w:tcMar>
              <w:top w:w="45" w:type="dxa"/>
              <w:left w:w="0" w:type="dxa"/>
              <w:bottom w:w="56" w:type="dxa"/>
              <w:right w:w="0" w:type="dxa"/>
            </w:tcMar>
            <w:vAlign w:val="bottom"/>
          </w:tcPr>
          <w:p w14:paraId="29CED7B3" w14:textId="77777777" w:rsidR="0062640D" w:rsidRDefault="00C12A80">
            <w:r>
              <w:t>Deferred tax liabilities</w:t>
            </w:r>
          </w:p>
        </w:tc>
        <w:tc>
          <w:tcPr>
            <w:tcW w:w="892" w:type="dxa"/>
            <w:tcBorders>
              <w:top w:val="nil"/>
              <w:left w:val="nil"/>
              <w:bottom w:val="nil"/>
              <w:right w:val="nil"/>
            </w:tcBorders>
            <w:tcMar>
              <w:top w:w="45" w:type="dxa"/>
              <w:left w:w="0" w:type="dxa"/>
              <w:bottom w:w="56" w:type="dxa"/>
              <w:right w:w="0" w:type="dxa"/>
            </w:tcMar>
            <w:vAlign w:val="bottom"/>
          </w:tcPr>
          <w:p w14:paraId="7F35C71D" w14:textId="77777777" w:rsidR="0062640D" w:rsidRDefault="0062640D"/>
        </w:tc>
        <w:tc>
          <w:tcPr>
            <w:tcW w:w="892" w:type="dxa"/>
            <w:tcBorders>
              <w:top w:val="nil"/>
              <w:left w:val="nil"/>
              <w:bottom w:val="nil"/>
              <w:right w:val="nil"/>
            </w:tcBorders>
            <w:tcMar>
              <w:top w:w="45" w:type="dxa"/>
              <w:left w:w="0" w:type="dxa"/>
              <w:bottom w:w="56" w:type="dxa"/>
              <w:right w:w="0" w:type="dxa"/>
            </w:tcMar>
            <w:vAlign w:val="bottom"/>
          </w:tcPr>
          <w:p w14:paraId="4D24A29D" w14:textId="77777777" w:rsidR="0062640D" w:rsidRDefault="0062640D"/>
        </w:tc>
        <w:tc>
          <w:tcPr>
            <w:tcW w:w="892" w:type="dxa"/>
            <w:tcBorders>
              <w:top w:val="nil"/>
              <w:left w:val="nil"/>
              <w:bottom w:val="nil"/>
              <w:right w:val="nil"/>
            </w:tcBorders>
            <w:tcMar>
              <w:top w:w="45" w:type="dxa"/>
              <w:left w:w="0" w:type="dxa"/>
              <w:bottom w:w="56" w:type="dxa"/>
              <w:right w:w="0" w:type="dxa"/>
            </w:tcMar>
            <w:vAlign w:val="bottom"/>
          </w:tcPr>
          <w:p w14:paraId="117F3D46" w14:textId="77777777" w:rsidR="0062640D" w:rsidRDefault="0062640D"/>
        </w:tc>
        <w:tc>
          <w:tcPr>
            <w:tcW w:w="892" w:type="dxa"/>
            <w:tcBorders>
              <w:top w:val="nil"/>
              <w:left w:val="nil"/>
              <w:bottom w:val="nil"/>
              <w:right w:val="nil"/>
            </w:tcBorders>
            <w:tcMar>
              <w:top w:w="45" w:type="dxa"/>
              <w:left w:w="0" w:type="dxa"/>
              <w:bottom w:w="56" w:type="dxa"/>
              <w:right w:w="0" w:type="dxa"/>
            </w:tcMar>
            <w:vAlign w:val="bottom"/>
          </w:tcPr>
          <w:p w14:paraId="595E70E8" w14:textId="35EC321E" w:rsidR="0062640D" w:rsidRDefault="00C12A80">
            <w:pPr>
              <w:pStyle w:val="AccountsBold"/>
            </w:pPr>
            <w:r>
              <w:t>92,76</w:t>
            </w:r>
            <w:r w:rsidR="00BD5A74">
              <w:t>3</w:t>
            </w:r>
          </w:p>
        </w:tc>
        <w:tc>
          <w:tcPr>
            <w:tcW w:w="60" w:type="dxa"/>
            <w:tcBorders>
              <w:top w:val="none" w:sz="8" w:space="0" w:color="auto"/>
              <w:left w:val="nil"/>
              <w:bottom w:val="none" w:sz="8" w:space="0" w:color="auto"/>
              <w:right w:val="nil"/>
            </w:tcBorders>
            <w:tcMar>
              <w:top w:w="45" w:type="dxa"/>
              <w:left w:w="0" w:type="dxa"/>
              <w:bottom w:w="56" w:type="dxa"/>
              <w:right w:w="0" w:type="dxa"/>
            </w:tcMar>
            <w:vAlign w:val="bottom"/>
          </w:tcPr>
          <w:p w14:paraId="171E6341" w14:textId="77777777" w:rsidR="0062640D" w:rsidRDefault="0062640D"/>
        </w:tc>
        <w:tc>
          <w:tcPr>
            <w:tcW w:w="892" w:type="dxa"/>
            <w:tcBorders>
              <w:top w:val="nil"/>
              <w:left w:val="nil"/>
              <w:bottom w:val="nil"/>
              <w:right w:val="nil"/>
            </w:tcBorders>
            <w:tcMar>
              <w:top w:w="45" w:type="dxa"/>
              <w:left w:w="0" w:type="dxa"/>
              <w:bottom w:w="56" w:type="dxa"/>
              <w:right w:w="0" w:type="dxa"/>
            </w:tcMar>
            <w:vAlign w:val="bottom"/>
          </w:tcPr>
          <w:p w14:paraId="03D26878" w14:textId="77777777" w:rsidR="0062640D" w:rsidRDefault="0062640D"/>
        </w:tc>
        <w:tc>
          <w:tcPr>
            <w:tcW w:w="892" w:type="dxa"/>
            <w:tcBorders>
              <w:top w:val="nil"/>
              <w:left w:val="nil"/>
              <w:bottom w:val="nil"/>
              <w:right w:val="nil"/>
            </w:tcBorders>
            <w:tcMar>
              <w:top w:w="45" w:type="dxa"/>
              <w:left w:w="0" w:type="dxa"/>
              <w:bottom w:w="56" w:type="dxa"/>
              <w:right w:w="0" w:type="dxa"/>
            </w:tcMar>
            <w:vAlign w:val="bottom"/>
          </w:tcPr>
          <w:p w14:paraId="39FE6B62" w14:textId="77777777" w:rsidR="0062640D" w:rsidRDefault="0062640D"/>
        </w:tc>
        <w:tc>
          <w:tcPr>
            <w:tcW w:w="892" w:type="dxa"/>
            <w:tcBorders>
              <w:top w:val="nil"/>
              <w:left w:val="nil"/>
              <w:bottom w:val="nil"/>
              <w:right w:val="nil"/>
            </w:tcBorders>
            <w:tcMar>
              <w:top w:w="45" w:type="dxa"/>
              <w:left w:w="0" w:type="dxa"/>
              <w:bottom w:w="56" w:type="dxa"/>
              <w:right w:w="0" w:type="dxa"/>
            </w:tcMar>
            <w:vAlign w:val="bottom"/>
          </w:tcPr>
          <w:p w14:paraId="706A5362" w14:textId="77777777" w:rsidR="0062640D" w:rsidRDefault="0062640D"/>
        </w:tc>
        <w:tc>
          <w:tcPr>
            <w:tcW w:w="892" w:type="dxa"/>
            <w:tcBorders>
              <w:top w:val="nil"/>
              <w:left w:val="nil"/>
              <w:bottom w:val="nil"/>
              <w:right w:val="nil"/>
            </w:tcBorders>
            <w:tcMar>
              <w:top w:w="45" w:type="dxa"/>
              <w:left w:w="0" w:type="dxa"/>
              <w:bottom w:w="56" w:type="dxa"/>
              <w:right w:w="0" w:type="dxa"/>
            </w:tcMar>
            <w:vAlign w:val="bottom"/>
          </w:tcPr>
          <w:p w14:paraId="3A0DCD10" w14:textId="77777777" w:rsidR="0062640D" w:rsidRDefault="00C12A80">
            <w:pPr>
              <w:pStyle w:val="Accounts"/>
            </w:pPr>
            <w:r>
              <w:t>84,441</w:t>
            </w:r>
          </w:p>
        </w:tc>
      </w:tr>
      <w:tr w:rsidR="0062640D" w14:paraId="369F74D7" w14:textId="77777777">
        <w:tc>
          <w:tcPr>
            <w:tcW w:w="2892" w:type="dxa"/>
            <w:tcBorders>
              <w:top w:val="nil"/>
              <w:left w:val="nil"/>
              <w:bottom w:val="single" w:sz="2" w:space="0" w:color="FF777C"/>
              <w:right w:val="nil"/>
            </w:tcBorders>
            <w:tcMar>
              <w:top w:w="45" w:type="dxa"/>
              <w:left w:w="0" w:type="dxa"/>
              <w:bottom w:w="56" w:type="dxa"/>
              <w:right w:w="0" w:type="dxa"/>
            </w:tcMar>
            <w:vAlign w:val="bottom"/>
          </w:tcPr>
          <w:p w14:paraId="6C3B64B3" w14:textId="77777777" w:rsidR="0062640D" w:rsidRDefault="00C12A80">
            <w:r>
              <w:t>Derivative liabilities</w:t>
            </w:r>
          </w:p>
        </w:tc>
        <w:tc>
          <w:tcPr>
            <w:tcW w:w="892" w:type="dxa"/>
            <w:tcBorders>
              <w:top w:val="nil"/>
              <w:left w:val="nil"/>
              <w:bottom w:val="single" w:sz="2" w:space="0" w:color="FF777C"/>
              <w:right w:val="nil"/>
            </w:tcBorders>
            <w:tcMar>
              <w:top w:w="45" w:type="dxa"/>
              <w:left w:w="0" w:type="dxa"/>
              <w:bottom w:w="56" w:type="dxa"/>
              <w:right w:w="0" w:type="dxa"/>
            </w:tcMar>
            <w:vAlign w:val="bottom"/>
          </w:tcPr>
          <w:p w14:paraId="3D930D28" w14:textId="77777777" w:rsidR="0062640D" w:rsidRDefault="0062640D"/>
        </w:tc>
        <w:tc>
          <w:tcPr>
            <w:tcW w:w="892" w:type="dxa"/>
            <w:tcBorders>
              <w:top w:val="nil"/>
              <w:left w:val="nil"/>
              <w:bottom w:val="single" w:sz="2" w:space="0" w:color="FF777C"/>
              <w:right w:val="nil"/>
            </w:tcBorders>
            <w:tcMar>
              <w:top w:w="45" w:type="dxa"/>
              <w:left w:w="0" w:type="dxa"/>
              <w:bottom w:w="56" w:type="dxa"/>
              <w:right w:w="0" w:type="dxa"/>
            </w:tcMar>
            <w:vAlign w:val="bottom"/>
          </w:tcPr>
          <w:p w14:paraId="4D6C812F" w14:textId="77777777" w:rsidR="0062640D" w:rsidRDefault="0062640D"/>
        </w:tc>
        <w:tc>
          <w:tcPr>
            <w:tcW w:w="892" w:type="dxa"/>
            <w:tcBorders>
              <w:top w:val="nil"/>
              <w:left w:val="nil"/>
              <w:bottom w:val="single" w:sz="2" w:space="0" w:color="FF777C"/>
              <w:right w:val="nil"/>
            </w:tcBorders>
            <w:tcMar>
              <w:top w:w="45" w:type="dxa"/>
              <w:left w:w="0" w:type="dxa"/>
              <w:bottom w:w="56" w:type="dxa"/>
              <w:right w:w="0" w:type="dxa"/>
            </w:tcMar>
            <w:vAlign w:val="bottom"/>
          </w:tcPr>
          <w:p w14:paraId="56A4D71E" w14:textId="77777777" w:rsidR="0062640D" w:rsidRDefault="0062640D"/>
        </w:tc>
        <w:tc>
          <w:tcPr>
            <w:tcW w:w="892" w:type="dxa"/>
            <w:tcBorders>
              <w:top w:val="nil"/>
              <w:left w:val="nil"/>
              <w:bottom w:val="single" w:sz="2" w:space="0" w:color="FF777C"/>
              <w:right w:val="nil"/>
            </w:tcBorders>
            <w:tcMar>
              <w:top w:w="45" w:type="dxa"/>
              <w:left w:w="0" w:type="dxa"/>
              <w:bottom w:w="56" w:type="dxa"/>
              <w:right w:w="0" w:type="dxa"/>
            </w:tcMar>
            <w:vAlign w:val="bottom"/>
          </w:tcPr>
          <w:p w14:paraId="0CDD7B15" w14:textId="77777777" w:rsidR="0062640D" w:rsidRDefault="00C12A80">
            <w:pPr>
              <w:pStyle w:val="AccountsBold"/>
            </w:pPr>
            <w:r>
              <w:t>244</w:t>
            </w:r>
          </w:p>
        </w:tc>
        <w:tc>
          <w:tcPr>
            <w:tcW w:w="60" w:type="dxa"/>
            <w:tcBorders>
              <w:top w:val="none" w:sz="8" w:space="0" w:color="auto"/>
              <w:left w:val="nil"/>
              <w:bottom w:val="none" w:sz="8" w:space="0" w:color="auto"/>
              <w:right w:val="nil"/>
            </w:tcBorders>
            <w:tcMar>
              <w:top w:w="45" w:type="dxa"/>
              <w:left w:w="0" w:type="dxa"/>
              <w:bottom w:w="56" w:type="dxa"/>
              <w:right w:w="0" w:type="dxa"/>
            </w:tcMar>
            <w:vAlign w:val="bottom"/>
          </w:tcPr>
          <w:p w14:paraId="27C79EA9" w14:textId="77777777" w:rsidR="0062640D" w:rsidRDefault="0062640D"/>
        </w:tc>
        <w:tc>
          <w:tcPr>
            <w:tcW w:w="892" w:type="dxa"/>
            <w:tcBorders>
              <w:top w:val="nil"/>
              <w:left w:val="nil"/>
              <w:bottom w:val="single" w:sz="2" w:space="0" w:color="FF777C"/>
              <w:right w:val="nil"/>
            </w:tcBorders>
            <w:tcMar>
              <w:top w:w="45" w:type="dxa"/>
              <w:left w:w="0" w:type="dxa"/>
              <w:bottom w:w="56" w:type="dxa"/>
              <w:right w:w="0" w:type="dxa"/>
            </w:tcMar>
            <w:vAlign w:val="bottom"/>
          </w:tcPr>
          <w:p w14:paraId="301E7E8E" w14:textId="77777777" w:rsidR="0062640D" w:rsidRDefault="0062640D"/>
        </w:tc>
        <w:tc>
          <w:tcPr>
            <w:tcW w:w="892" w:type="dxa"/>
            <w:tcBorders>
              <w:top w:val="nil"/>
              <w:left w:val="nil"/>
              <w:bottom w:val="single" w:sz="2" w:space="0" w:color="FF777C"/>
              <w:right w:val="nil"/>
            </w:tcBorders>
            <w:tcMar>
              <w:top w:w="45" w:type="dxa"/>
              <w:left w:w="0" w:type="dxa"/>
              <w:bottom w:w="56" w:type="dxa"/>
              <w:right w:w="0" w:type="dxa"/>
            </w:tcMar>
            <w:vAlign w:val="bottom"/>
          </w:tcPr>
          <w:p w14:paraId="1CE9DA2A" w14:textId="77777777" w:rsidR="0062640D" w:rsidRDefault="0062640D"/>
        </w:tc>
        <w:tc>
          <w:tcPr>
            <w:tcW w:w="892" w:type="dxa"/>
            <w:tcBorders>
              <w:top w:val="nil"/>
              <w:left w:val="nil"/>
              <w:bottom w:val="single" w:sz="2" w:space="0" w:color="FF777C"/>
              <w:right w:val="nil"/>
            </w:tcBorders>
            <w:tcMar>
              <w:top w:w="45" w:type="dxa"/>
              <w:left w:w="0" w:type="dxa"/>
              <w:bottom w:w="56" w:type="dxa"/>
              <w:right w:w="0" w:type="dxa"/>
            </w:tcMar>
            <w:vAlign w:val="bottom"/>
          </w:tcPr>
          <w:p w14:paraId="52634929" w14:textId="77777777" w:rsidR="0062640D" w:rsidRDefault="0062640D"/>
        </w:tc>
        <w:tc>
          <w:tcPr>
            <w:tcW w:w="892" w:type="dxa"/>
            <w:tcBorders>
              <w:top w:val="nil"/>
              <w:left w:val="nil"/>
              <w:bottom w:val="single" w:sz="2" w:space="0" w:color="FF777C"/>
              <w:right w:val="nil"/>
            </w:tcBorders>
            <w:tcMar>
              <w:top w:w="45" w:type="dxa"/>
              <w:left w:w="0" w:type="dxa"/>
              <w:bottom w:w="56" w:type="dxa"/>
              <w:right w:w="0" w:type="dxa"/>
            </w:tcMar>
            <w:vAlign w:val="bottom"/>
          </w:tcPr>
          <w:p w14:paraId="45FA83CF" w14:textId="77777777" w:rsidR="0062640D" w:rsidRDefault="00C12A80">
            <w:pPr>
              <w:pStyle w:val="Accounts"/>
            </w:pPr>
            <w:r>
              <w:t>-</w:t>
            </w:r>
          </w:p>
        </w:tc>
      </w:tr>
      <w:tr w:rsidR="0062640D" w14:paraId="724A559C" w14:textId="77777777">
        <w:tc>
          <w:tcPr>
            <w:tcW w:w="2892" w:type="dxa"/>
            <w:tcBorders>
              <w:top w:val="single" w:sz="2" w:space="0" w:color="FF777C"/>
              <w:left w:val="nil"/>
              <w:bottom w:val="nil"/>
              <w:right w:val="nil"/>
            </w:tcBorders>
            <w:tcMar>
              <w:top w:w="45" w:type="dxa"/>
              <w:left w:w="0" w:type="dxa"/>
              <w:bottom w:w="56" w:type="dxa"/>
              <w:right w:w="0" w:type="dxa"/>
            </w:tcMar>
            <w:vAlign w:val="bottom"/>
          </w:tcPr>
          <w:p w14:paraId="1E523160" w14:textId="77777777" w:rsidR="0062640D" w:rsidRDefault="0062640D"/>
        </w:tc>
        <w:tc>
          <w:tcPr>
            <w:tcW w:w="892" w:type="dxa"/>
            <w:tcBorders>
              <w:top w:val="single" w:sz="2" w:space="0" w:color="FF777C"/>
              <w:left w:val="nil"/>
              <w:bottom w:val="nil"/>
              <w:right w:val="nil"/>
            </w:tcBorders>
            <w:tcMar>
              <w:top w:w="45" w:type="dxa"/>
              <w:left w:w="0" w:type="dxa"/>
              <w:bottom w:w="56" w:type="dxa"/>
              <w:right w:w="0" w:type="dxa"/>
            </w:tcMar>
            <w:vAlign w:val="bottom"/>
          </w:tcPr>
          <w:p w14:paraId="523CFE79" w14:textId="77777777" w:rsidR="0062640D" w:rsidRDefault="0062640D"/>
        </w:tc>
        <w:tc>
          <w:tcPr>
            <w:tcW w:w="892" w:type="dxa"/>
            <w:tcBorders>
              <w:top w:val="single" w:sz="2" w:space="0" w:color="FF777C"/>
              <w:left w:val="nil"/>
              <w:bottom w:val="nil"/>
              <w:right w:val="nil"/>
            </w:tcBorders>
            <w:tcMar>
              <w:top w:w="45" w:type="dxa"/>
              <w:left w:w="0" w:type="dxa"/>
              <w:bottom w:w="56" w:type="dxa"/>
              <w:right w:w="0" w:type="dxa"/>
            </w:tcMar>
            <w:vAlign w:val="bottom"/>
          </w:tcPr>
          <w:p w14:paraId="08FB568E" w14:textId="77777777" w:rsidR="0062640D" w:rsidRDefault="0062640D"/>
        </w:tc>
        <w:tc>
          <w:tcPr>
            <w:tcW w:w="892" w:type="dxa"/>
            <w:tcBorders>
              <w:top w:val="single" w:sz="2" w:space="0" w:color="FF777C"/>
              <w:left w:val="nil"/>
              <w:bottom w:val="nil"/>
              <w:right w:val="nil"/>
            </w:tcBorders>
            <w:tcMar>
              <w:top w:w="45" w:type="dxa"/>
              <w:left w:w="0" w:type="dxa"/>
              <w:bottom w:w="56" w:type="dxa"/>
              <w:right w:w="0" w:type="dxa"/>
            </w:tcMar>
            <w:vAlign w:val="bottom"/>
          </w:tcPr>
          <w:p w14:paraId="2D343CF6" w14:textId="77777777" w:rsidR="0062640D" w:rsidRDefault="0062640D"/>
        </w:tc>
        <w:tc>
          <w:tcPr>
            <w:tcW w:w="892" w:type="dxa"/>
            <w:tcBorders>
              <w:top w:val="single" w:sz="2" w:space="0" w:color="FF777C"/>
              <w:left w:val="nil"/>
              <w:bottom w:val="nil"/>
              <w:right w:val="nil"/>
            </w:tcBorders>
            <w:tcMar>
              <w:top w:w="45" w:type="dxa"/>
              <w:left w:w="0" w:type="dxa"/>
              <w:bottom w:w="56" w:type="dxa"/>
              <w:right w:w="0" w:type="dxa"/>
            </w:tcMar>
            <w:vAlign w:val="bottom"/>
          </w:tcPr>
          <w:p w14:paraId="481365C2" w14:textId="77777777" w:rsidR="0062640D" w:rsidRDefault="0062640D"/>
        </w:tc>
        <w:tc>
          <w:tcPr>
            <w:tcW w:w="60" w:type="dxa"/>
            <w:tcBorders>
              <w:top w:val="none" w:sz="8" w:space="0" w:color="auto"/>
              <w:left w:val="nil"/>
              <w:bottom w:val="none" w:sz="8" w:space="0" w:color="auto"/>
              <w:right w:val="nil"/>
            </w:tcBorders>
            <w:tcMar>
              <w:top w:w="45" w:type="dxa"/>
              <w:left w:w="0" w:type="dxa"/>
              <w:bottom w:w="56" w:type="dxa"/>
              <w:right w:w="0" w:type="dxa"/>
            </w:tcMar>
            <w:vAlign w:val="bottom"/>
          </w:tcPr>
          <w:p w14:paraId="2B33ACC1" w14:textId="77777777" w:rsidR="0062640D" w:rsidRDefault="0062640D"/>
        </w:tc>
        <w:tc>
          <w:tcPr>
            <w:tcW w:w="892" w:type="dxa"/>
            <w:tcBorders>
              <w:top w:val="single" w:sz="2" w:space="0" w:color="FF777C"/>
              <w:left w:val="nil"/>
              <w:bottom w:val="nil"/>
              <w:right w:val="nil"/>
            </w:tcBorders>
            <w:tcMar>
              <w:top w:w="45" w:type="dxa"/>
              <w:left w:w="0" w:type="dxa"/>
              <w:bottom w:w="56" w:type="dxa"/>
              <w:right w:w="0" w:type="dxa"/>
            </w:tcMar>
            <w:vAlign w:val="bottom"/>
          </w:tcPr>
          <w:p w14:paraId="78772374" w14:textId="77777777" w:rsidR="0062640D" w:rsidRDefault="0062640D"/>
        </w:tc>
        <w:tc>
          <w:tcPr>
            <w:tcW w:w="892" w:type="dxa"/>
            <w:tcBorders>
              <w:top w:val="single" w:sz="2" w:space="0" w:color="FF777C"/>
              <w:left w:val="nil"/>
              <w:bottom w:val="nil"/>
              <w:right w:val="nil"/>
            </w:tcBorders>
            <w:tcMar>
              <w:top w:w="45" w:type="dxa"/>
              <w:left w:w="0" w:type="dxa"/>
              <w:bottom w:w="56" w:type="dxa"/>
              <w:right w:w="0" w:type="dxa"/>
            </w:tcMar>
            <w:vAlign w:val="bottom"/>
          </w:tcPr>
          <w:p w14:paraId="0D9813F4" w14:textId="77777777" w:rsidR="0062640D" w:rsidRDefault="0062640D"/>
        </w:tc>
        <w:tc>
          <w:tcPr>
            <w:tcW w:w="892" w:type="dxa"/>
            <w:tcBorders>
              <w:top w:val="single" w:sz="2" w:space="0" w:color="FF777C"/>
              <w:left w:val="nil"/>
              <w:bottom w:val="nil"/>
              <w:right w:val="nil"/>
            </w:tcBorders>
            <w:tcMar>
              <w:top w:w="45" w:type="dxa"/>
              <w:left w:w="0" w:type="dxa"/>
              <w:bottom w:w="56" w:type="dxa"/>
              <w:right w:w="0" w:type="dxa"/>
            </w:tcMar>
            <w:vAlign w:val="bottom"/>
          </w:tcPr>
          <w:p w14:paraId="1E422008" w14:textId="77777777" w:rsidR="0062640D" w:rsidRDefault="0062640D"/>
        </w:tc>
        <w:tc>
          <w:tcPr>
            <w:tcW w:w="892" w:type="dxa"/>
            <w:tcBorders>
              <w:top w:val="single" w:sz="2" w:space="0" w:color="FF777C"/>
              <w:left w:val="nil"/>
              <w:bottom w:val="nil"/>
              <w:right w:val="nil"/>
            </w:tcBorders>
            <w:tcMar>
              <w:top w:w="45" w:type="dxa"/>
              <w:left w:w="0" w:type="dxa"/>
              <w:bottom w:w="56" w:type="dxa"/>
              <w:right w:w="0" w:type="dxa"/>
            </w:tcMar>
            <w:vAlign w:val="bottom"/>
          </w:tcPr>
          <w:p w14:paraId="69D382B5" w14:textId="77777777" w:rsidR="0062640D" w:rsidRDefault="0062640D"/>
        </w:tc>
      </w:tr>
      <w:tr w:rsidR="0062640D" w14:paraId="036EC65D" w14:textId="77777777">
        <w:tc>
          <w:tcPr>
            <w:tcW w:w="2892" w:type="dxa"/>
            <w:tcBorders>
              <w:top w:val="nil"/>
              <w:left w:val="nil"/>
              <w:bottom w:val="single" w:sz="6" w:space="0" w:color="FF777C"/>
              <w:right w:val="nil"/>
            </w:tcBorders>
            <w:tcMar>
              <w:top w:w="45" w:type="dxa"/>
              <w:left w:w="0" w:type="dxa"/>
              <w:bottom w:w="56" w:type="dxa"/>
              <w:right w:w="0" w:type="dxa"/>
            </w:tcMar>
            <w:vAlign w:val="bottom"/>
          </w:tcPr>
          <w:p w14:paraId="28C3252E" w14:textId="77777777" w:rsidR="0062640D" w:rsidRDefault="00C12A80">
            <w:pPr>
              <w:pStyle w:val="Heading-2"/>
            </w:pPr>
            <w:r>
              <w:t>Total liabilities</w:t>
            </w:r>
          </w:p>
        </w:tc>
        <w:tc>
          <w:tcPr>
            <w:tcW w:w="892" w:type="dxa"/>
            <w:tcBorders>
              <w:top w:val="nil"/>
              <w:left w:val="nil"/>
              <w:bottom w:val="single" w:sz="6" w:space="0" w:color="FF777C"/>
              <w:right w:val="nil"/>
            </w:tcBorders>
            <w:tcMar>
              <w:top w:w="45" w:type="dxa"/>
              <w:left w:w="0" w:type="dxa"/>
              <w:bottom w:w="56" w:type="dxa"/>
              <w:right w:w="0" w:type="dxa"/>
            </w:tcMar>
            <w:vAlign w:val="bottom"/>
          </w:tcPr>
          <w:p w14:paraId="61761194" w14:textId="77777777" w:rsidR="0062640D" w:rsidRDefault="0062640D"/>
        </w:tc>
        <w:tc>
          <w:tcPr>
            <w:tcW w:w="892" w:type="dxa"/>
            <w:tcBorders>
              <w:top w:val="nil"/>
              <w:left w:val="nil"/>
              <w:bottom w:val="single" w:sz="6" w:space="0" w:color="FF777C"/>
              <w:right w:val="nil"/>
            </w:tcBorders>
            <w:tcMar>
              <w:top w:w="45" w:type="dxa"/>
              <w:left w:w="0" w:type="dxa"/>
              <w:bottom w:w="56" w:type="dxa"/>
              <w:right w:w="0" w:type="dxa"/>
            </w:tcMar>
            <w:vAlign w:val="bottom"/>
          </w:tcPr>
          <w:p w14:paraId="098D39A1" w14:textId="77777777" w:rsidR="0062640D" w:rsidRDefault="0062640D"/>
        </w:tc>
        <w:tc>
          <w:tcPr>
            <w:tcW w:w="892" w:type="dxa"/>
            <w:tcBorders>
              <w:top w:val="nil"/>
              <w:left w:val="nil"/>
              <w:bottom w:val="single" w:sz="6" w:space="0" w:color="FF777C"/>
              <w:right w:val="nil"/>
            </w:tcBorders>
            <w:tcMar>
              <w:top w:w="45" w:type="dxa"/>
              <w:left w:w="0" w:type="dxa"/>
              <w:bottom w:w="56" w:type="dxa"/>
              <w:right w:w="0" w:type="dxa"/>
            </w:tcMar>
            <w:vAlign w:val="bottom"/>
          </w:tcPr>
          <w:p w14:paraId="09E88752" w14:textId="77777777" w:rsidR="0062640D" w:rsidRDefault="0062640D"/>
        </w:tc>
        <w:tc>
          <w:tcPr>
            <w:tcW w:w="892" w:type="dxa"/>
            <w:tcBorders>
              <w:top w:val="nil"/>
              <w:left w:val="nil"/>
              <w:bottom w:val="single" w:sz="6" w:space="0" w:color="FF777C"/>
              <w:right w:val="nil"/>
            </w:tcBorders>
            <w:tcMar>
              <w:top w:w="45" w:type="dxa"/>
              <w:left w:w="0" w:type="dxa"/>
              <w:bottom w:w="56" w:type="dxa"/>
              <w:right w:w="0" w:type="dxa"/>
            </w:tcMar>
            <w:vAlign w:val="bottom"/>
          </w:tcPr>
          <w:p w14:paraId="389C0040" w14:textId="0A3C4ED1" w:rsidR="0062640D" w:rsidRDefault="00C12A80">
            <w:pPr>
              <w:pStyle w:val="AccountsBold"/>
            </w:pPr>
            <w:r>
              <w:t>1,241,24</w:t>
            </w:r>
            <w:r w:rsidR="00BD5A74">
              <w:t>4</w:t>
            </w:r>
          </w:p>
        </w:tc>
        <w:tc>
          <w:tcPr>
            <w:tcW w:w="60" w:type="dxa"/>
            <w:tcBorders>
              <w:top w:val="none" w:sz="8" w:space="0" w:color="auto"/>
              <w:left w:val="nil"/>
              <w:bottom w:val="none" w:sz="8" w:space="0" w:color="auto"/>
              <w:right w:val="nil"/>
            </w:tcBorders>
            <w:tcMar>
              <w:top w:w="45" w:type="dxa"/>
              <w:left w:w="0" w:type="dxa"/>
              <w:bottom w:w="56" w:type="dxa"/>
              <w:right w:w="0" w:type="dxa"/>
            </w:tcMar>
            <w:vAlign w:val="bottom"/>
          </w:tcPr>
          <w:p w14:paraId="53C25836" w14:textId="77777777" w:rsidR="0062640D" w:rsidRDefault="0062640D"/>
        </w:tc>
        <w:tc>
          <w:tcPr>
            <w:tcW w:w="892" w:type="dxa"/>
            <w:tcBorders>
              <w:top w:val="nil"/>
              <w:left w:val="nil"/>
              <w:bottom w:val="single" w:sz="6" w:space="0" w:color="FF777C"/>
              <w:right w:val="nil"/>
            </w:tcBorders>
            <w:tcMar>
              <w:top w:w="45" w:type="dxa"/>
              <w:left w:w="0" w:type="dxa"/>
              <w:bottom w:w="56" w:type="dxa"/>
              <w:right w:w="0" w:type="dxa"/>
            </w:tcMar>
            <w:vAlign w:val="bottom"/>
          </w:tcPr>
          <w:p w14:paraId="61BEFBF6" w14:textId="77777777" w:rsidR="0062640D" w:rsidRDefault="0062640D"/>
        </w:tc>
        <w:tc>
          <w:tcPr>
            <w:tcW w:w="892" w:type="dxa"/>
            <w:tcBorders>
              <w:top w:val="nil"/>
              <w:left w:val="nil"/>
              <w:bottom w:val="single" w:sz="6" w:space="0" w:color="FF777C"/>
              <w:right w:val="nil"/>
            </w:tcBorders>
            <w:tcMar>
              <w:top w:w="45" w:type="dxa"/>
              <w:left w:w="0" w:type="dxa"/>
              <w:bottom w:w="56" w:type="dxa"/>
              <w:right w:w="0" w:type="dxa"/>
            </w:tcMar>
            <w:vAlign w:val="bottom"/>
          </w:tcPr>
          <w:p w14:paraId="76D4FF3B" w14:textId="77777777" w:rsidR="0062640D" w:rsidRDefault="0062640D"/>
        </w:tc>
        <w:tc>
          <w:tcPr>
            <w:tcW w:w="892" w:type="dxa"/>
            <w:tcBorders>
              <w:top w:val="nil"/>
              <w:left w:val="nil"/>
              <w:bottom w:val="single" w:sz="6" w:space="0" w:color="FF777C"/>
              <w:right w:val="nil"/>
            </w:tcBorders>
            <w:tcMar>
              <w:top w:w="45" w:type="dxa"/>
              <w:left w:w="0" w:type="dxa"/>
              <w:bottom w:w="56" w:type="dxa"/>
              <w:right w:w="0" w:type="dxa"/>
            </w:tcMar>
            <w:vAlign w:val="bottom"/>
          </w:tcPr>
          <w:p w14:paraId="645065BB" w14:textId="77777777" w:rsidR="0062640D" w:rsidRDefault="0062640D"/>
        </w:tc>
        <w:tc>
          <w:tcPr>
            <w:tcW w:w="892" w:type="dxa"/>
            <w:tcBorders>
              <w:top w:val="nil"/>
              <w:left w:val="nil"/>
              <w:bottom w:val="single" w:sz="6" w:space="0" w:color="FF777C"/>
              <w:right w:val="nil"/>
            </w:tcBorders>
            <w:tcMar>
              <w:top w:w="45" w:type="dxa"/>
              <w:left w:w="0" w:type="dxa"/>
              <w:bottom w:w="56" w:type="dxa"/>
              <w:right w:w="0" w:type="dxa"/>
            </w:tcMar>
            <w:vAlign w:val="bottom"/>
          </w:tcPr>
          <w:p w14:paraId="7B5B94F7" w14:textId="77777777" w:rsidR="0062640D" w:rsidRDefault="00C12A80">
            <w:pPr>
              <w:pStyle w:val="Accounts"/>
            </w:pPr>
            <w:r>
              <w:t>1,135,093</w:t>
            </w:r>
          </w:p>
        </w:tc>
      </w:tr>
      <w:tr w:rsidR="0062640D" w14:paraId="6AD6B128" w14:textId="77777777">
        <w:tc>
          <w:tcPr>
            <w:tcW w:w="2892" w:type="dxa"/>
            <w:tcBorders>
              <w:top w:val="single" w:sz="6" w:space="0" w:color="FF777C"/>
              <w:left w:val="nil"/>
              <w:bottom w:val="nil"/>
              <w:right w:val="nil"/>
            </w:tcBorders>
            <w:tcMar>
              <w:top w:w="45" w:type="dxa"/>
              <w:left w:w="0" w:type="dxa"/>
              <w:bottom w:w="56" w:type="dxa"/>
              <w:right w:w="0" w:type="dxa"/>
            </w:tcMar>
            <w:vAlign w:val="bottom"/>
          </w:tcPr>
          <w:p w14:paraId="4BBC9036" w14:textId="77777777" w:rsidR="0062640D" w:rsidRDefault="0062640D"/>
        </w:tc>
        <w:tc>
          <w:tcPr>
            <w:tcW w:w="892" w:type="dxa"/>
            <w:tcBorders>
              <w:top w:val="single" w:sz="6" w:space="0" w:color="FF777C"/>
              <w:left w:val="nil"/>
              <w:bottom w:val="nil"/>
              <w:right w:val="nil"/>
            </w:tcBorders>
            <w:tcMar>
              <w:top w:w="45" w:type="dxa"/>
              <w:left w:w="0" w:type="dxa"/>
              <w:bottom w:w="56" w:type="dxa"/>
              <w:right w:w="0" w:type="dxa"/>
            </w:tcMar>
            <w:vAlign w:val="bottom"/>
          </w:tcPr>
          <w:p w14:paraId="1BF54AD3" w14:textId="77777777" w:rsidR="0062640D" w:rsidRDefault="0062640D"/>
        </w:tc>
        <w:tc>
          <w:tcPr>
            <w:tcW w:w="892" w:type="dxa"/>
            <w:tcBorders>
              <w:top w:val="single" w:sz="6" w:space="0" w:color="FF777C"/>
              <w:left w:val="nil"/>
              <w:bottom w:val="nil"/>
              <w:right w:val="nil"/>
            </w:tcBorders>
            <w:tcMar>
              <w:top w:w="45" w:type="dxa"/>
              <w:left w:w="0" w:type="dxa"/>
              <w:bottom w:w="56" w:type="dxa"/>
              <w:right w:w="0" w:type="dxa"/>
            </w:tcMar>
            <w:vAlign w:val="bottom"/>
          </w:tcPr>
          <w:p w14:paraId="2C444703" w14:textId="77777777" w:rsidR="0062640D" w:rsidRDefault="0062640D"/>
        </w:tc>
        <w:tc>
          <w:tcPr>
            <w:tcW w:w="892" w:type="dxa"/>
            <w:tcBorders>
              <w:top w:val="single" w:sz="6" w:space="0" w:color="FF777C"/>
              <w:left w:val="nil"/>
              <w:bottom w:val="nil"/>
              <w:right w:val="nil"/>
            </w:tcBorders>
            <w:tcMar>
              <w:top w:w="45" w:type="dxa"/>
              <w:left w:w="0" w:type="dxa"/>
              <w:bottom w:w="56" w:type="dxa"/>
              <w:right w:w="0" w:type="dxa"/>
            </w:tcMar>
            <w:vAlign w:val="bottom"/>
          </w:tcPr>
          <w:p w14:paraId="52650712" w14:textId="77777777" w:rsidR="0062640D" w:rsidRDefault="0062640D"/>
        </w:tc>
        <w:tc>
          <w:tcPr>
            <w:tcW w:w="892" w:type="dxa"/>
            <w:tcBorders>
              <w:top w:val="single" w:sz="6" w:space="0" w:color="FF777C"/>
              <w:left w:val="nil"/>
              <w:bottom w:val="nil"/>
              <w:right w:val="nil"/>
            </w:tcBorders>
            <w:tcMar>
              <w:top w:w="45" w:type="dxa"/>
              <w:left w:w="0" w:type="dxa"/>
              <w:bottom w:w="56" w:type="dxa"/>
              <w:right w:w="0" w:type="dxa"/>
            </w:tcMar>
            <w:vAlign w:val="bottom"/>
          </w:tcPr>
          <w:p w14:paraId="08CD143C" w14:textId="77777777" w:rsidR="0062640D" w:rsidRDefault="0062640D"/>
        </w:tc>
        <w:tc>
          <w:tcPr>
            <w:tcW w:w="60" w:type="dxa"/>
            <w:tcBorders>
              <w:top w:val="none" w:sz="8" w:space="0" w:color="auto"/>
              <w:left w:val="nil"/>
              <w:bottom w:val="none" w:sz="8" w:space="0" w:color="auto"/>
              <w:right w:val="nil"/>
            </w:tcBorders>
            <w:tcMar>
              <w:top w:w="45" w:type="dxa"/>
              <w:left w:w="0" w:type="dxa"/>
              <w:bottom w:w="56" w:type="dxa"/>
              <w:right w:w="0" w:type="dxa"/>
            </w:tcMar>
            <w:vAlign w:val="bottom"/>
          </w:tcPr>
          <w:p w14:paraId="3E8DFB58" w14:textId="77777777" w:rsidR="0062640D" w:rsidRDefault="0062640D"/>
        </w:tc>
        <w:tc>
          <w:tcPr>
            <w:tcW w:w="892" w:type="dxa"/>
            <w:tcBorders>
              <w:top w:val="single" w:sz="6" w:space="0" w:color="FF777C"/>
              <w:left w:val="nil"/>
              <w:bottom w:val="nil"/>
              <w:right w:val="nil"/>
            </w:tcBorders>
            <w:tcMar>
              <w:top w:w="45" w:type="dxa"/>
              <w:left w:w="0" w:type="dxa"/>
              <w:bottom w:w="56" w:type="dxa"/>
              <w:right w:w="0" w:type="dxa"/>
            </w:tcMar>
            <w:vAlign w:val="bottom"/>
          </w:tcPr>
          <w:p w14:paraId="67F025A0" w14:textId="77777777" w:rsidR="0062640D" w:rsidRDefault="0062640D"/>
        </w:tc>
        <w:tc>
          <w:tcPr>
            <w:tcW w:w="892" w:type="dxa"/>
            <w:tcBorders>
              <w:top w:val="single" w:sz="6" w:space="0" w:color="FF777C"/>
              <w:left w:val="nil"/>
              <w:bottom w:val="nil"/>
              <w:right w:val="nil"/>
            </w:tcBorders>
            <w:tcMar>
              <w:top w:w="45" w:type="dxa"/>
              <w:left w:w="0" w:type="dxa"/>
              <w:bottom w:w="56" w:type="dxa"/>
              <w:right w:w="0" w:type="dxa"/>
            </w:tcMar>
            <w:vAlign w:val="bottom"/>
          </w:tcPr>
          <w:p w14:paraId="02E04FFC" w14:textId="77777777" w:rsidR="0062640D" w:rsidRDefault="0062640D"/>
        </w:tc>
        <w:tc>
          <w:tcPr>
            <w:tcW w:w="892" w:type="dxa"/>
            <w:tcBorders>
              <w:top w:val="single" w:sz="6" w:space="0" w:color="FF777C"/>
              <w:left w:val="nil"/>
              <w:bottom w:val="nil"/>
              <w:right w:val="nil"/>
            </w:tcBorders>
            <w:tcMar>
              <w:top w:w="45" w:type="dxa"/>
              <w:left w:w="0" w:type="dxa"/>
              <w:bottom w:w="56" w:type="dxa"/>
              <w:right w:w="0" w:type="dxa"/>
            </w:tcMar>
            <w:vAlign w:val="bottom"/>
          </w:tcPr>
          <w:p w14:paraId="72691663" w14:textId="77777777" w:rsidR="0062640D" w:rsidRDefault="0062640D"/>
        </w:tc>
        <w:tc>
          <w:tcPr>
            <w:tcW w:w="892" w:type="dxa"/>
            <w:tcBorders>
              <w:top w:val="single" w:sz="6" w:space="0" w:color="FF777C"/>
              <w:left w:val="nil"/>
              <w:bottom w:val="nil"/>
              <w:right w:val="nil"/>
            </w:tcBorders>
            <w:tcMar>
              <w:top w:w="45" w:type="dxa"/>
              <w:left w:w="0" w:type="dxa"/>
              <w:bottom w:w="56" w:type="dxa"/>
              <w:right w:w="0" w:type="dxa"/>
            </w:tcMar>
            <w:vAlign w:val="bottom"/>
          </w:tcPr>
          <w:p w14:paraId="448CDBBD" w14:textId="77777777" w:rsidR="0062640D" w:rsidRDefault="0062640D"/>
        </w:tc>
      </w:tr>
      <w:tr w:rsidR="0062640D" w14:paraId="3F5AD739" w14:textId="77777777">
        <w:tc>
          <w:tcPr>
            <w:tcW w:w="2892" w:type="dxa"/>
            <w:tcBorders>
              <w:top w:val="nil"/>
              <w:left w:val="nil"/>
              <w:bottom w:val="single" w:sz="8" w:space="0" w:color="FF777C"/>
              <w:right w:val="nil"/>
            </w:tcBorders>
            <w:tcMar>
              <w:top w:w="45" w:type="dxa"/>
              <w:left w:w="0" w:type="dxa"/>
              <w:bottom w:w="56" w:type="dxa"/>
              <w:right w:w="0" w:type="dxa"/>
            </w:tcMar>
            <w:vAlign w:val="bottom"/>
          </w:tcPr>
          <w:p w14:paraId="49574105" w14:textId="77777777" w:rsidR="0062640D" w:rsidRDefault="00C12A80">
            <w:pPr>
              <w:pStyle w:val="Heading-2"/>
            </w:pPr>
            <w:r>
              <w:t>Revaluation reserve</w:t>
            </w:r>
          </w:p>
        </w:tc>
        <w:tc>
          <w:tcPr>
            <w:tcW w:w="892" w:type="dxa"/>
            <w:tcBorders>
              <w:top w:val="nil"/>
              <w:left w:val="nil"/>
              <w:bottom w:val="single" w:sz="8" w:space="0" w:color="FF777C"/>
              <w:right w:val="nil"/>
            </w:tcBorders>
            <w:tcMar>
              <w:top w:w="45" w:type="dxa"/>
              <w:left w:w="0" w:type="dxa"/>
              <w:bottom w:w="56" w:type="dxa"/>
              <w:right w:w="0" w:type="dxa"/>
            </w:tcMar>
            <w:vAlign w:val="bottom"/>
          </w:tcPr>
          <w:p w14:paraId="33662F77" w14:textId="77777777" w:rsidR="0062640D" w:rsidRDefault="00C12A80">
            <w:pPr>
              <w:pStyle w:val="AccountsBold"/>
            </w:pPr>
            <w:r>
              <w:t>390,606</w:t>
            </w:r>
          </w:p>
        </w:tc>
        <w:tc>
          <w:tcPr>
            <w:tcW w:w="892" w:type="dxa"/>
            <w:tcBorders>
              <w:top w:val="nil"/>
              <w:left w:val="nil"/>
              <w:bottom w:val="single" w:sz="8" w:space="0" w:color="FF777C"/>
              <w:right w:val="nil"/>
            </w:tcBorders>
            <w:tcMar>
              <w:top w:w="45" w:type="dxa"/>
              <w:left w:w="0" w:type="dxa"/>
              <w:bottom w:w="56" w:type="dxa"/>
              <w:right w:w="0" w:type="dxa"/>
            </w:tcMar>
            <w:vAlign w:val="bottom"/>
          </w:tcPr>
          <w:p w14:paraId="7237A91E" w14:textId="77777777" w:rsidR="0062640D" w:rsidRDefault="00C12A80">
            <w:pPr>
              <w:pStyle w:val="AccountsBold"/>
            </w:pPr>
            <w:r>
              <w:t>77,999</w:t>
            </w:r>
          </w:p>
        </w:tc>
        <w:tc>
          <w:tcPr>
            <w:tcW w:w="892" w:type="dxa"/>
            <w:tcBorders>
              <w:top w:val="nil"/>
              <w:left w:val="nil"/>
              <w:bottom w:val="single" w:sz="8" w:space="0" w:color="FF777C"/>
              <w:right w:val="nil"/>
            </w:tcBorders>
            <w:tcMar>
              <w:top w:w="45" w:type="dxa"/>
              <w:left w:w="0" w:type="dxa"/>
              <w:bottom w:w="56" w:type="dxa"/>
              <w:right w:w="0" w:type="dxa"/>
            </w:tcMar>
            <w:vAlign w:val="bottom"/>
          </w:tcPr>
          <w:p w14:paraId="5C5FC946" w14:textId="77777777" w:rsidR="0062640D" w:rsidRDefault="00C12A80">
            <w:pPr>
              <w:pStyle w:val="AccountsBold"/>
            </w:pPr>
            <w:r>
              <w:t>-</w:t>
            </w:r>
          </w:p>
        </w:tc>
        <w:tc>
          <w:tcPr>
            <w:tcW w:w="892" w:type="dxa"/>
            <w:tcBorders>
              <w:top w:val="nil"/>
              <w:left w:val="nil"/>
              <w:bottom w:val="single" w:sz="8" w:space="0" w:color="FF777C"/>
              <w:right w:val="nil"/>
            </w:tcBorders>
            <w:tcMar>
              <w:top w:w="45" w:type="dxa"/>
              <w:left w:w="0" w:type="dxa"/>
              <w:bottom w:w="56" w:type="dxa"/>
              <w:right w:w="0" w:type="dxa"/>
            </w:tcMar>
            <w:vAlign w:val="bottom"/>
          </w:tcPr>
          <w:p w14:paraId="61B9797D" w14:textId="77777777" w:rsidR="0062640D" w:rsidRDefault="00C12A80">
            <w:pPr>
              <w:pStyle w:val="AccountsBold"/>
            </w:pPr>
            <w:r>
              <w:t>468,605</w:t>
            </w:r>
          </w:p>
        </w:tc>
        <w:tc>
          <w:tcPr>
            <w:tcW w:w="60" w:type="dxa"/>
            <w:tcBorders>
              <w:top w:val="none" w:sz="8" w:space="0" w:color="auto"/>
              <w:left w:val="nil"/>
              <w:bottom w:val="none" w:sz="8" w:space="0" w:color="auto"/>
              <w:right w:val="nil"/>
            </w:tcBorders>
            <w:tcMar>
              <w:top w:w="45" w:type="dxa"/>
              <w:left w:w="0" w:type="dxa"/>
              <w:bottom w:w="56" w:type="dxa"/>
              <w:right w:w="0" w:type="dxa"/>
            </w:tcMar>
            <w:vAlign w:val="bottom"/>
          </w:tcPr>
          <w:p w14:paraId="2376A24E" w14:textId="77777777" w:rsidR="0062640D" w:rsidRDefault="0062640D"/>
        </w:tc>
        <w:tc>
          <w:tcPr>
            <w:tcW w:w="892" w:type="dxa"/>
            <w:tcBorders>
              <w:top w:val="nil"/>
              <w:left w:val="nil"/>
              <w:bottom w:val="single" w:sz="8" w:space="0" w:color="FF777C"/>
              <w:right w:val="nil"/>
            </w:tcBorders>
            <w:tcMar>
              <w:top w:w="45" w:type="dxa"/>
              <w:left w:w="0" w:type="dxa"/>
              <w:bottom w:w="56" w:type="dxa"/>
              <w:right w:w="0" w:type="dxa"/>
            </w:tcMar>
            <w:vAlign w:val="bottom"/>
          </w:tcPr>
          <w:p w14:paraId="193D4169" w14:textId="77777777" w:rsidR="0062640D" w:rsidRDefault="00C12A80">
            <w:pPr>
              <w:pStyle w:val="Accounts"/>
            </w:pPr>
            <w:r>
              <w:t>386,450</w:t>
            </w:r>
          </w:p>
        </w:tc>
        <w:tc>
          <w:tcPr>
            <w:tcW w:w="892" w:type="dxa"/>
            <w:tcBorders>
              <w:top w:val="nil"/>
              <w:left w:val="nil"/>
              <w:bottom w:val="single" w:sz="8" w:space="0" w:color="FF777C"/>
              <w:right w:val="nil"/>
            </w:tcBorders>
            <w:tcMar>
              <w:top w:w="45" w:type="dxa"/>
              <w:left w:w="0" w:type="dxa"/>
              <w:bottom w:w="56" w:type="dxa"/>
              <w:right w:w="0" w:type="dxa"/>
            </w:tcMar>
            <w:vAlign w:val="bottom"/>
          </w:tcPr>
          <w:p w14:paraId="5E032006" w14:textId="77777777" w:rsidR="0062640D" w:rsidRDefault="00C12A80">
            <w:pPr>
              <w:pStyle w:val="Accounts"/>
            </w:pPr>
            <w:r>
              <w:t>74,731</w:t>
            </w:r>
          </w:p>
        </w:tc>
        <w:tc>
          <w:tcPr>
            <w:tcW w:w="892" w:type="dxa"/>
            <w:tcBorders>
              <w:top w:val="nil"/>
              <w:left w:val="nil"/>
              <w:bottom w:val="single" w:sz="8" w:space="0" w:color="FF777C"/>
              <w:right w:val="nil"/>
            </w:tcBorders>
            <w:tcMar>
              <w:top w:w="45" w:type="dxa"/>
              <w:left w:w="0" w:type="dxa"/>
              <w:bottom w:w="56" w:type="dxa"/>
              <w:right w:w="0" w:type="dxa"/>
            </w:tcMar>
            <w:vAlign w:val="bottom"/>
          </w:tcPr>
          <w:p w14:paraId="38F07FF0" w14:textId="77777777" w:rsidR="0062640D" w:rsidRDefault="00C12A80">
            <w:pPr>
              <w:pStyle w:val="Accounts"/>
            </w:pPr>
            <w:r>
              <w:t>-</w:t>
            </w:r>
          </w:p>
        </w:tc>
        <w:tc>
          <w:tcPr>
            <w:tcW w:w="892" w:type="dxa"/>
            <w:tcBorders>
              <w:top w:val="nil"/>
              <w:left w:val="nil"/>
              <w:bottom w:val="single" w:sz="8" w:space="0" w:color="FF777C"/>
              <w:right w:val="nil"/>
            </w:tcBorders>
            <w:tcMar>
              <w:top w:w="45" w:type="dxa"/>
              <w:left w:w="0" w:type="dxa"/>
              <w:bottom w:w="56" w:type="dxa"/>
              <w:right w:w="0" w:type="dxa"/>
            </w:tcMar>
            <w:vAlign w:val="bottom"/>
          </w:tcPr>
          <w:p w14:paraId="7D68FA64" w14:textId="77777777" w:rsidR="0062640D" w:rsidRDefault="00C12A80">
            <w:pPr>
              <w:pStyle w:val="Accounts"/>
            </w:pPr>
            <w:r>
              <w:t>461,181</w:t>
            </w:r>
          </w:p>
        </w:tc>
      </w:tr>
    </w:tbl>
    <w:p w14:paraId="1AFF7A27" w14:textId="77777777" w:rsidR="0062640D" w:rsidRDefault="0062640D"/>
    <w:p w14:paraId="55FDF8D7" w14:textId="77777777" w:rsidR="0062640D" w:rsidRDefault="00C12A80">
      <w:r>
        <w:t>The above information on assets, liabilities and revaluation reserve is presented by region as it does not form part of the segmental information routinely reviewed by the chief operating decision makers.</w:t>
      </w:r>
    </w:p>
    <w:p w14:paraId="0B4045AC" w14:textId="77777777" w:rsidR="0062640D" w:rsidRDefault="0062640D"/>
    <w:p w14:paraId="173ABF41" w14:textId="6087196D" w:rsidR="00BD5A74" w:rsidRPr="00BD5A74" w:rsidRDefault="00BD5A74" w:rsidP="00BD5A74">
      <w:pPr>
        <w:rPr>
          <w:lang w:val="en-IE"/>
        </w:rPr>
      </w:pPr>
      <w:r w:rsidRPr="00601BE3">
        <w:rPr>
          <w:lang w:val="en-IE"/>
        </w:rPr>
        <w:t>Bank loans and private placement notes are categorised according to their underlying currency</w:t>
      </w:r>
      <w:r w:rsidR="007E4C49">
        <w:rPr>
          <w:lang w:val="en-IE"/>
        </w:rPr>
        <w:t xml:space="preserve"> </w:t>
      </w:r>
      <w:r w:rsidRPr="006B0F6B">
        <w:t>(</w:t>
      </w:r>
      <w:hyperlink w:anchor="note-22" w:history="1">
        <w:r w:rsidRPr="001D58A0">
          <w:rPr>
            <w:rStyle w:val="Hyperlink"/>
          </w:rPr>
          <w:t>note 2</w:t>
        </w:r>
        <w:r w:rsidR="007E4C49" w:rsidRPr="001D58A0">
          <w:rPr>
            <w:rStyle w:val="Hyperlink"/>
          </w:rPr>
          <w:t>2</w:t>
        </w:r>
      </w:hyperlink>
      <w:r w:rsidRPr="006B0F6B">
        <w:t>).</w:t>
      </w:r>
    </w:p>
    <w:p w14:paraId="7180316D" w14:textId="77777777" w:rsidR="0062640D" w:rsidRDefault="0062640D"/>
    <w:p w14:paraId="5DF50859" w14:textId="77777777" w:rsidR="0062640D" w:rsidRDefault="00C12A80">
      <w:pPr>
        <w:pStyle w:val="Heading-1"/>
      </w:pPr>
      <w:r>
        <w:t>3 Statutory and other information</w:t>
      </w:r>
    </w:p>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7823"/>
        <w:gridCol w:w="1133"/>
        <w:gridCol w:w="1133"/>
      </w:tblGrid>
      <w:tr w:rsidR="0062640D" w14:paraId="4ACD39E1" w14:textId="77777777">
        <w:tc>
          <w:tcPr>
            <w:tcW w:w="7823" w:type="dxa"/>
            <w:tcBorders>
              <w:top w:val="nil"/>
              <w:left w:val="nil"/>
              <w:bottom w:val="nil"/>
              <w:right w:val="nil"/>
            </w:tcBorders>
            <w:tcMar>
              <w:top w:w="45" w:type="dxa"/>
              <w:left w:w="0" w:type="dxa"/>
              <w:bottom w:w="0" w:type="dxa"/>
              <w:right w:w="0" w:type="dxa"/>
            </w:tcMar>
            <w:vAlign w:val="bottom"/>
          </w:tcPr>
          <w:p w14:paraId="1C4E31CD" w14:textId="77777777" w:rsidR="0062640D" w:rsidRDefault="0062640D"/>
        </w:tc>
        <w:tc>
          <w:tcPr>
            <w:tcW w:w="1133" w:type="dxa"/>
            <w:tcBorders>
              <w:top w:val="nil"/>
              <w:left w:val="nil"/>
              <w:bottom w:val="nil"/>
              <w:right w:val="nil"/>
            </w:tcBorders>
            <w:tcMar>
              <w:top w:w="45" w:type="dxa"/>
              <w:left w:w="0" w:type="dxa"/>
              <w:bottom w:w="0" w:type="dxa"/>
              <w:right w:w="0" w:type="dxa"/>
            </w:tcMar>
            <w:vAlign w:val="bottom"/>
          </w:tcPr>
          <w:p w14:paraId="7ED9356C" w14:textId="77777777" w:rsidR="0062640D" w:rsidRDefault="00C12A80">
            <w:pPr>
              <w:pStyle w:val="Table-Headings"/>
            </w:pPr>
            <w:r>
              <w:t>2024</w:t>
            </w:r>
          </w:p>
        </w:tc>
        <w:tc>
          <w:tcPr>
            <w:tcW w:w="1133" w:type="dxa"/>
            <w:tcBorders>
              <w:top w:val="nil"/>
              <w:left w:val="nil"/>
              <w:bottom w:val="nil"/>
              <w:right w:val="nil"/>
            </w:tcBorders>
            <w:tcMar>
              <w:top w:w="56" w:type="dxa"/>
              <w:left w:w="0" w:type="dxa"/>
              <w:bottom w:w="0" w:type="dxa"/>
              <w:right w:w="0" w:type="dxa"/>
            </w:tcMar>
            <w:vAlign w:val="bottom"/>
          </w:tcPr>
          <w:p w14:paraId="6DE37A06" w14:textId="77777777" w:rsidR="0062640D" w:rsidRDefault="00C12A80">
            <w:pPr>
              <w:pStyle w:val="Table-Headings"/>
            </w:pPr>
            <w:r>
              <w:t>2023</w:t>
            </w:r>
          </w:p>
        </w:tc>
      </w:tr>
      <w:tr w:rsidR="0062640D" w14:paraId="38ABE84A" w14:textId="77777777">
        <w:tc>
          <w:tcPr>
            <w:tcW w:w="7823" w:type="dxa"/>
            <w:tcBorders>
              <w:top w:val="nil"/>
              <w:left w:val="nil"/>
              <w:bottom w:val="single" w:sz="6" w:space="0" w:color="FF777C"/>
              <w:right w:val="nil"/>
            </w:tcBorders>
            <w:tcMar>
              <w:top w:w="45" w:type="dxa"/>
              <w:left w:w="0" w:type="dxa"/>
              <w:bottom w:w="56" w:type="dxa"/>
              <w:right w:w="0" w:type="dxa"/>
            </w:tcMar>
            <w:vAlign w:val="bottom"/>
          </w:tcPr>
          <w:p w14:paraId="3E3256C3" w14:textId="77777777" w:rsidR="0062640D" w:rsidRDefault="0062640D"/>
        </w:tc>
        <w:tc>
          <w:tcPr>
            <w:tcW w:w="1133" w:type="dxa"/>
            <w:tcBorders>
              <w:top w:val="nil"/>
              <w:left w:val="nil"/>
              <w:bottom w:val="single" w:sz="6" w:space="0" w:color="FF777C"/>
              <w:right w:val="nil"/>
            </w:tcBorders>
            <w:tcMar>
              <w:top w:w="45" w:type="dxa"/>
              <w:left w:w="0" w:type="dxa"/>
              <w:bottom w:w="56" w:type="dxa"/>
              <w:right w:w="0" w:type="dxa"/>
            </w:tcMar>
            <w:vAlign w:val="bottom"/>
          </w:tcPr>
          <w:p w14:paraId="2C375181" w14:textId="77777777" w:rsidR="0062640D" w:rsidRDefault="00C12A80">
            <w:pPr>
              <w:pStyle w:val="Table-Headings"/>
            </w:pPr>
            <w:r>
              <w:t>€’000</w:t>
            </w:r>
          </w:p>
        </w:tc>
        <w:tc>
          <w:tcPr>
            <w:tcW w:w="1133" w:type="dxa"/>
            <w:tcBorders>
              <w:top w:val="nil"/>
              <w:left w:val="nil"/>
              <w:bottom w:val="single" w:sz="6" w:space="0" w:color="FF777C"/>
              <w:right w:val="nil"/>
            </w:tcBorders>
            <w:tcMar>
              <w:top w:w="56" w:type="dxa"/>
              <w:left w:w="0" w:type="dxa"/>
              <w:bottom w:w="56" w:type="dxa"/>
              <w:right w:w="0" w:type="dxa"/>
            </w:tcMar>
            <w:vAlign w:val="bottom"/>
          </w:tcPr>
          <w:p w14:paraId="613E9375" w14:textId="77777777" w:rsidR="0062640D" w:rsidRDefault="00C12A80">
            <w:pPr>
              <w:pStyle w:val="Table-Headings"/>
            </w:pPr>
            <w:r>
              <w:t>€’000</w:t>
            </w:r>
          </w:p>
        </w:tc>
      </w:tr>
      <w:tr w:rsidR="0062640D" w14:paraId="4B118AF0" w14:textId="77777777">
        <w:tc>
          <w:tcPr>
            <w:tcW w:w="782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35FB313B" w14:textId="77777777" w:rsidR="0062640D" w:rsidRDefault="00C12A80">
            <w:r>
              <w:t>Depreciation of property, plant and equipment</w:t>
            </w:r>
          </w:p>
        </w:tc>
        <w:tc>
          <w:tcPr>
            <w:tcW w:w="113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009C6FD1" w14:textId="77777777" w:rsidR="0062640D" w:rsidRDefault="00C12A80">
            <w:pPr>
              <w:pStyle w:val="AccountsBold"/>
            </w:pPr>
            <w:r>
              <w:t>39,316</w:t>
            </w:r>
          </w:p>
        </w:tc>
        <w:tc>
          <w:tcPr>
            <w:tcW w:w="113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0C7A4E11" w14:textId="77777777" w:rsidR="0062640D" w:rsidRDefault="00C12A80">
            <w:pPr>
              <w:pStyle w:val="Accounts"/>
            </w:pPr>
            <w:r>
              <w:t>32,791</w:t>
            </w:r>
          </w:p>
        </w:tc>
      </w:tr>
      <w:tr w:rsidR="0062640D" w14:paraId="6AD2AB57"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7B0BF755" w14:textId="77777777" w:rsidR="0062640D" w:rsidRDefault="00C12A80">
            <w:r>
              <w:t>Depreciation of right-of-use assets</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51C6DD2" w14:textId="77777777" w:rsidR="0062640D" w:rsidRDefault="00C12A80">
            <w:pPr>
              <w:pStyle w:val="AccountsBold"/>
            </w:pPr>
            <w:r>
              <w:t>33,727</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7EADC104" w14:textId="77777777" w:rsidR="0062640D" w:rsidRDefault="00C12A80">
            <w:pPr>
              <w:pStyle w:val="Accounts"/>
            </w:pPr>
            <w:r>
              <w:t>30,663</w:t>
            </w:r>
          </w:p>
        </w:tc>
      </w:tr>
      <w:tr w:rsidR="0062640D" w14:paraId="0C406708"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2F04103C" w14:textId="77777777" w:rsidR="0062640D" w:rsidRDefault="00C12A80">
            <w:r>
              <w:t xml:space="preserve">Variable lease costs: land and buildings </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9EF895D" w14:textId="77777777" w:rsidR="0062640D" w:rsidRDefault="00C12A80">
            <w:pPr>
              <w:pStyle w:val="AccountsBold"/>
            </w:pPr>
            <w:r>
              <w:t>2,644</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05759E23" w14:textId="77777777" w:rsidR="0062640D" w:rsidRDefault="00C12A80">
            <w:pPr>
              <w:pStyle w:val="Accounts"/>
            </w:pPr>
            <w:r>
              <w:t>3,630</w:t>
            </w:r>
          </w:p>
        </w:tc>
      </w:tr>
      <w:tr w:rsidR="0062640D" w14:paraId="5B5E98C3" w14:textId="77777777">
        <w:tc>
          <w:tcPr>
            <w:tcW w:w="7823" w:type="dxa"/>
            <w:tcBorders>
              <w:top w:val="none" w:sz="8" w:space="0" w:color="auto"/>
              <w:left w:val="none" w:sz="8" w:space="0" w:color="auto"/>
              <w:bottom w:val="single" w:sz="6" w:space="0" w:color="FF777C"/>
              <w:right w:val="none" w:sz="8" w:space="0" w:color="auto"/>
            </w:tcBorders>
            <w:tcMar>
              <w:top w:w="56" w:type="dxa"/>
              <w:left w:w="0" w:type="dxa"/>
              <w:bottom w:w="85" w:type="dxa"/>
              <w:right w:w="0" w:type="dxa"/>
            </w:tcMar>
            <w:vAlign w:val="bottom"/>
          </w:tcPr>
          <w:p w14:paraId="1DBD47DE" w14:textId="77777777" w:rsidR="0062640D" w:rsidRDefault="00C12A80">
            <w:r>
              <w:t>Hotel pre-opening expenses</w:t>
            </w:r>
          </w:p>
        </w:tc>
        <w:tc>
          <w:tcPr>
            <w:tcW w:w="1133" w:type="dxa"/>
            <w:tcBorders>
              <w:top w:val="none" w:sz="8" w:space="0" w:color="auto"/>
              <w:left w:val="none" w:sz="8" w:space="0" w:color="auto"/>
              <w:bottom w:val="single" w:sz="6" w:space="0" w:color="FF777C"/>
              <w:right w:val="none" w:sz="8" w:space="0" w:color="auto"/>
            </w:tcBorders>
            <w:tcMar>
              <w:top w:w="56" w:type="dxa"/>
              <w:left w:w="0" w:type="dxa"/>
              <w:bottom w:w="85" w:type="dxa"/>
              <w:right w:w="0" w:type="dxa"/>
            </w:tcMar>
            <w:vAlign w:val="bottom"/>
          </w:tcPr>
          <w:p w14:paraId="017ADEB4" w14:textId="5264BC09" w:rsidR="0062640D" w:rsidRDefault="00C12A80">
            <w:pPr>
              <w:pStyle w:val="AccountsBold"/>
            </w:pPr>
            <w:r>
              <w:t>1,89</w:t>
            </w:r>
            <w:r w:rsidR="00BD5A74">
              <w:t>5</w:t>
            </w:r>
          </w:p>
        </w:tc>
        <w:tc>
          <w:tcPr>
            <w:tcW w:w="1133" w:type="dxa"/>
            <w:tcBorders>
              <w:top w:val="none" w:sz="8" w:space="0" w:color="auto"/>
              <w:left w:val="none" w:sz="8" w:space="0" w:color="auto"/>
              <w:bottom w:val="single" w:sz="6" w:space="0" w:color="FF777C"/>
              <w:right w:val="none" w:sz="8" w:space="0" w:color="auto"/>
            </w:tcBorders>
            <w:tcMar>
              <w:top w:w="56" w:type="dxa"/>
              <w:left w:w="0" w:type="dxa"/>
              <w:bottom w:w="85" w:type="dxa"/>
              <w:right w:w="0" w:type="dxa"/>
            </w:tcMar>
            <w:vAlign w:val="bottom"/>
          </w:tcPr>
          <w:p w14:paraId="61BE44B4" w14:textId="77777777" w:rsidR="0062640D" w:rsidRDefault="00C12A80">
            <w:pPr>
              <w:pStyle w:val="Accounts"/>
            </w:pPr>
            <w:r>
              <w:t>497</w:t>
            </w:r>
          </w:p>
        </w:tc>
      </w:tr>
    </w:tbl>
    <w:p w14:paraId="5717614E" w14:textId="77777777" w:rsidR="0062640D" w:rsidRDefault="0062640D"/>
    <w:p w14:paraId="36FCDFD4" w14:textId="77777777" w:rsidR="0062640D" w:rsidRDefault="00C12A80">
      <w:r>
        <w:t>Hotel pre-opening expenses relate to costs incurred by the Group in advance of opening new hotels. In 2024, this related to four new hotels that opened throughout 2024. In 2023, this related to Maldron Hotel Finsbury Park, London, which opened during 2023. These costs primarily relate to payroll expenses, sales and marketing costs and training costs of new staff.</w:t>
      </w:r>
    </w:p>
    <w:p w14:paraId="1E239079" w14:textId="77777777" w:rsidR="0062640D" w:rsidRDefault="0062640D"/>
    <w:p w14:paraId="556A3E3C" w14:textId="77777777" w:rsidR="0062640D" w:rsidRDefault="00C12A80">
      <w:r>
        <w:t>Variable lease costs relate to lease payments linked to performance which are excluded from the measurement of lease liabilities as they are not related to an index or rate or are not considered fixed payments in substance.</w:t>
      </w:r>
    </w:p>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7823"/>
        <w:gridCol w:w="1133"/>
        <w:gridCol w:w="1133"/>
      </w:tblGrid>
      <w:tr w:rsidR="0062640D" w14:paraId="7062FE87" w14:textId="77777777">
        <w:tc>
          <w:tcPr>
            <w:tcW w:w="7823" w:type="dxa"/>
            <w:tcBorders>
              <w:top w:val="nil"/>
              <w:left w:val="nil"/>
              <w:bottom w:val="nil"/>
              <w:right w:val="nil"/>
            </w:tcBorders>
            <w:tcMar>
              <w:top w:w="45" w:type="dxa"/>
              <w:left w:w="0" w:type="dxa"/>
              <w:bottom w:w="0" w:type="dxa"/>
              <w:right w:w="0" w:type="dxa"/>
            </w:tcMar>
            <w:vAlign w:val="bottom"/>
          </w:tcPr>
          <w:p w14:paraId="67E25A30" w14:textId="77777777" w:rsidR="0062640D" w:rsidRDefault="0062640D"/>
        </w:tc>
        <w:tc>
          <w:tcPr>
            <w:tcW w:w="1133" w:type="dxa"/>
            <w:tcBorders>
              <w:top w:val="nil"/>
              <w:left w:val="nil"/>
              <w:bottom w:val="nil"/>
              <w:right w:val="nil"/>
            </w:tcBorders>
            <w:tcMar>
              <w:top w:w="45" w:type="dxa"/>
              <w:left w:w="0" w:type="dxa"/>
              <w:bottom w:w="0" w:type="dxa"/>
              <w:right w:w="0" w:type="dxa"/>
            </w:tcMar>
            <w:vAlign w:val="bottom"/>
          </w:tcPr>
          <w:p w14:paraId="71AACDD5" w14:textId="77777777" w:rsidR="0062640D" w:rsidRDefault="00C12A80">
            <w:pPr>
              <w:pStyle w:val="Table-Headings"/>
            </w:pPr>
            <w:r>
              <w:t>2024</w:t>
            </w:r>
          </w:p>
        </w:tc>
        <w:tc>
          <w:tcPr>
            <w:tcW w:w="1133" w:type="dxa"/>
            <w:tcBorders>
              <w:top w:val="nil"/>
              <w:left w:val="nil"/>
              <w:bottom w:val="nil"/>
              <w:right w:val="nil"/>
            </w:tcBorders>
            <w:tcMar>
              <w:top w:w="56" w:type="dxa"/>
              <w:left w:w="0" w:type="dxa"/>
              <w:bottom w:w="0" w:type="dxa"/>
              <w:right w:w="0" w:type="dxa"/>
            </w:tcMar>
            <w:vAlign w:val="bottom"/>
          </w:tcPr>
          <w:p w14:paraId="40A761E2" w14:textId="77777777" w:rsidR="0062640D" w:rsidRDefault="00C12A80">
            <w:pPr>
              <w:pStyle w:val="Table-Headings"/>
            </w:pPr>
            <w:r>
              <w:t>2023</w:t>
            </w:r>
          </w:p>
        </w:tc>
      </w:tr>
      <w:tr w:rsidR="0062640D" w14:paraId="30B6EDAF" w14:textId="77777777">
        <w:tc>
          <w:tcPr>
            <w:tcW w:w="7823" w:type="dxa"/>
            <w:tcBorders>
              <w:top w:val="nil"/>
              <w:left w:val="nil"/>
              <w:bottom w:val="single" w:sz="6" w:space="0" w:color="FF777C"/>
              <w:right w:val="nil"/>
            </w:tcBorders>
            <w:tcMar>
              <w:top w:w="45" w:type="dxa"/>
              <w:left w:w="0" w:type="dxa"/>
              <w:bottom w:w="56" w:type="dxa"/>
              <w:right w:w="0" w:type="dxa"/>
            </w:tcMar>
            <w:vAlign w:val="bottom"/>
          </w:tcPr>
          <w:p w14:paraId="20CB82AC" w14:textId="77777777" w:rsidR="0062640D" w:rsidRDefault="0062640D"/>
        </w:tc>
        <w:tc>
          <w:tcPr>
            <w:tcW w:w="1133" w:type="dxa"/>
            <w:tcBorders>
              <w:top w:val="nil"/>
              <w:left w:val="nil"/>
              <w:bottom w:val="single" w:sz="6" w:space="0" w:color="FF777C"/>
              <w:right w:val="nil"/>
            </w:tcBorders>
            <w:tcMar>
              <w:top w:w="45" w:type="dxa"/>
              <w:left w:w="0" w:type="dxa"/>
              <w:bottom w:w="56" w:type="dxa"/>
              <w:right w:w="0" w:type="dxa"/>
            </w:tcMar>
            <w:vAlign w:val="bottom"/>
          </w:tcPr>
          <w:p w14:paraId="3A60BD1A" w14:textId="77777777" w:rsidR="0062640D" w:rsidRDefault="00C12A80">
            <w:pPr>
              <w:pStyle w:val="Table-Headings"/>
            </w:pPr>
            <w:r>
              <w:t>€’000</w:t>
            </w:r>
          </w:p>
        </w:tc>
        <w:tc>
          <w:tcPr>
            <w:tcW w:w="1133" w:type="dxa"/>
            <w:tcBorders>
              <w:top w:val="nil"/>
              <w:left w:val="nil"/>
              <w:bottom w:val="single" w:sz="6" w:space="0" w:color="FF777C"/>
              <w:right w:val="nil"/>
            </w:tcBorders>
            <w:tcMar>
              <w:top w:w="56" w:type="dxa"/>
              <w:left w:w="0" w:type="dxa"/>
              <w:bottom w:w="56" w:type="dxa"/>
              <w:right w:w="0" w:type="dxa"/>
            </w:tcMar>
            <w:vAlign w:val="bottom"/>
          </w:tcPr>
          <w:p w14:paraId="2C436643" w14:textId="77777777" w:rsidR="0062640D" w:rsidRDefault="00C12A80">
            <w:pPr>
              <w:pStyle w:val="Table-Headings"/>
            </w:pPr>
            <w:r>
              <w:t>€’000</w:t>
            </w:r>
          </w:p>
        </w:tc>
      </w:tr>
      <w:tr w:rsidR="0062640D" w14:paraId="2030EDFC" w14:textId="77777777">
        <w:tc>
          <w:tcPr>
            <w:tcW w:w="782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74C92824" w14:textId="77777777" w:rsidR="0062640D" w:rsidRDefault="00C12A80">
            <w:r>
              <w:t>Audit of Group, Company and subsidiary financial statements</w:t>
            </w:r>
          </w:p>
        </w:tc>
        <w:tc>
          <w:tcPr>
            <w:tcW w:w="113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6415D78D" w14:textId="77777777" w:rsidR="0062640D" w:rsidRDefault="00C12A80">
            <w:pPr>
              <w:pStyle w:val="AccountsBold"/>
            </w:pPr>
            <w:r>
              <w:t>500</w:t>
            </w:r>
          </w:p>
        </w:tc>
        <w:tc>
          <w:tcPr>
            <w:tcW w:w="113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34FB1A69" w14:textId="77777777" w:rsidR="0062640D" w:rsidRDefault="00C12A80">
            <w:pPr>
              <w:pStyle w:val="Accounts"/>
            </w:pPr>
            <w:r>
              <w:t>470</w:t>
            </w:r>
          </w:p>
        </w:tc>
      </w:tr>
      <w:tr w:rsidR="00937C08" w14:paraId="440E4A64"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026AD19" w14:textId="77777777" w:rsidR="00937C08" w:rsidRDefault="00937C08" w:rsidP="00937C08">
            <w:r>
              <w:t xml:space="preserve">Other assurance services </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36CB55AD" w14:textId="2326E452" w:rsidR="00937C08" w:rsidRDefault="00937C08" w:rsidP="00937C08">
            <w:pPr>
              <w:pStyle w:val="AccountsBold"/>
            </w:pPr>
            <w:r w:rsidRPr="00765D10">
              <w:rPr>
                <w:highlight w:val="yellow"/>
              </w:rPr>
              <w:t>362</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31A28D2A" w14:textId="77777777" w:rsidR="00937C08" w:rsidRDefault="00937C08" w:rsidP="00937C08">
            <w:pPr>
              <w:pStyle w:val="Accounts"/>
            </w:pPr>
            <w:r>
              <w:t>32</w:t>
            </w:r>
          </w:p>
        </w:tc>
      </w:tr>
      <w:tr w:rsidR="00937C08" w14:paraId="504DEE10" w14:textId="77777777">
        <w:tc>
          <w:tcPr>
            <w:tcW w:w="782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7348B8C4" w14:textId="77777777" w:rsidR="00937C08" w:rsidRDefault="00937C08" w:rsidP="00937C08">
            <w:r>
              <w:t>Other non-audit services</w:t>
            </w:r>
          </w:p>
        </w:tc>
        <w:tc>
          <w:tcPr>
            <w:tcW w:w="113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47E51A42" w14:textId="17F72873" w:rsidR="00937C08" w:rsidRDefault="00937C08" w:rsidP="00937C08">
            <w:pPr>
              <w:pStyle w:val="AccountsBold"/>
            </w:pPr>
            <w:r w:rsidRPr="00765D10">
              <w:rPr>
                <w:highlight w:val="yellow"/>
              </w:rPr>
              <w:t>37</w:t>
            </w:r>
          </w:p>
        </w:tc>
        <w:tc>
          <w:tcPr>
            <w:tcW w:w="113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3B2D34C3" w14:textId="77777777" w:rsidR="00937C08" w:rsidRDefault="00937C08" w:rsidP="00937C08">
            <w:pPr>
              <w:pStyle w:val="Accounts"/>
            </w:pPr>
            <w:r>
              <w:t>37</w:t>
            </w:r>
          </w:p>
        </w:tc>
      </w:tr>
      <w:tr w:rsidR="00937C08" w14:paraId="10B9F552" w14:textId="77777777">
        <w:tc>
          <w:tcPr>
            <w:tcW w:w="782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58B2B1C1" w14:textId="77777777" w:rsidR="00937C08" w:rsidRPr="00937C08" w:rsidRDefault="00937C08" w:rsidP="00937C08">
            <w:pPr>
              <w:rPr>
                <w:highlight w:val="yellow"/>
              </w:rPr>
            </w:pPr>
          </w:p>
        </w:tc>
        <w:tc>
          <w:tcPr>
            <w:tcW w:w="113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5A5A2010" w14:textId="5FD950A0" w:rsidR="00937C08" w:rsidRPr="00937C08" w:rsidRDefault="00937C08" w:rsidP="00937C08">
            <w:pPr>
              <w:pStyle w:val="AccountsBold"/>
              <w:rPr>
                <w:highlight w:val="yellow"/>
              </w:rPr>
            </w:pPr>
            <w:r w:rsidRPr="00937C08">
              <w:rPr>
                <w:highlight w:val="yellow"/>
              </w:rPr>
              <w:t>899</w:t>
            </w:r>
          </w:p>
        </w:tc>
        <w:tc>
          <w:tcPr>
            <w:tcW w:w="113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4E8CF5AE" w14:textId="77777777" w:rsidR="00937C08" w:rsidRDefault="00937C08" w:rsidP="00937C08">
            <w:pPr>
              <w:pStyle w:val="Accounts"/>
            </w:pPr>
            <w:r>
              <w:t>539</w:t>
            </w:r>
          </w:p>
        </w:tc>
      </w:tr>
    </w:tbl>
    <w:p w14:paraId="49050DDA" w14:textId="77777777" w:rsidR="0062640D" w:rsidRDefault="0062640D"/>
    <w:p w14:paraId="61F12D79" w14:textId="22C1A8EE" w:rsidR="0062640D" w:rsidRDefault="00C12A80">
      <w:r>
        <w:t>Auditor’s remuneration for the audit of the Company financial statements was €20,000 (2023: €20,000). Other assurance services primarily relate to</w:t>
      </w:r>
      <w:r w:rsidR="00937C08" w:rsidRPr="00937C08">
        <w:t xml:space="preserve"> </w:t>
      </w:r>
      <w:r w:rsidR="00937C08" w:rsidRPr="00483DBA">
        <w:t xml:space="preserve">the </w:t>
      </w:r>
      <w:r w:rsidR="00937C08" w:rsidRPr="00937C08">
        <w:rPr>
          <w:highlight w:val="yellow"/>
        </w:rPr>
        <w:t>Sustainability Statement and</w:t>
      </w:r>
      <w:r>
        <w:t xml:space="preserve"> the review of the interim condensed consolidated financial statements. </w:t>
      </w:r>
    </w:p>
    <w:p w14:paraId="7C6A6D85" w14:textId="77777777" w:rsidR="0062640D" w:rsidRDefault="0062640D"/>
    <w:p w14:paraId="19F87D1B" w14:textId="77777777" w:rsidR="0062640D" w:rsidRDefault="00C12A80">
      <w:pPr>
        <w:pStyle w:val="Heading-2"/>
      </w:pPr>
      <w:r>
        <w:t>Directors’ remuneration</w:t>
      </w:r>
    </w:p>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7823"/>
        <w:gridCol w:w="1133"/>
        <w:gridCol w:w="1133"/>
      </w:tblGrid>
      <w:tr w:rsidR="0062640D" w14:paraId="648C84FD" w14:textId="77777777">
        <w:tc>
          <w:tcPr>
            <w:tcW w:w="7823" w:type="dxa"/>
            <w:tcBorders>
              <w:top w:val="nil"/>
              <w:left w:val="nil"/>
              <w:bottom w:val="nil"/>
              <w:right w:val="nil"/>
            </w:tcBorders>
            <w:tcMar>
              <w:top w:w="45" w:type="dxa"/>
              <w:left w:w="0" w:type="dxa"/>
              <w:bottom w:w="0" w:type="dxa"/>
              <w:right w:w="0" w:type="dxa"/>
            </w:tcMar>
            <w:vAlign w:val="bottom"/>
          </w:tcPr>
          <w:p w14:paraId="6CE43CF6" w14:textId="77777777" w:rsidR="0062640D" w:rsidRDefault="0062640D"/>
        </w:tc>
        <w:tc>
          <w:tcPr>
            <w:tcW w:w="1133" w:type="dxa"/>
            <w:tcBorders>
              <w:top w:val="nil"/>
              <w:left w:val="nil"/>
              <w:bottom w:val="nil"/>
              <w:right w:val="nil"/>
            </w:tcBorders>
            <w:tcMar>
              <w:top w:w="45" w:type="dxa"/>
              <w:left w:w="0" w:type="dxa"/>
              <w:bottom w:w="0" w:type="dxa"/>
              <w:right w:w="0" w:type="dxa"/>
            </w:tcMar>
            <w:vAlign w:val="bottom"/>
          </w:tcPr>
          <w:p w14:paraId="0B03A680" w14:textId="77777777" w:rsidR="0062640D" w:rsidRDefault="00C12A80">
            <w:pPr>
              <w:pStyle w:val="Table-Headings"/>
            </w:pPr>
            <w:r>
              <w:t>2024</w:t>
            </w:r>
          </w:p>
        </w:tc>
        <w:tc>
          <w:tcPr>
            <w:tcW w:w="1133" w:type="dxa"/>
            <w:tcBorders>
              <w:top w:val="nil"/>
              <w:left w:val="nil"/>
              <w:bottom w:val="nil"/>
              <w:right w:val="nil"/>
            </w:tcBorders>
            <w:tcMar>
              <w:top w:w="56" w:type="dxa"/>
              <w:left w:w="0" w:type="dxa"/>
              <w:bottom w:w="0" w:type="dxa"/>
              <w:right w:w="0" w:type="dxa"/>
            </w:tcMar>
            <w:vAlign w:val="bottom"/>
          </w:tcPr>
          <w:p w14:paraId="26173D04" w14:textId="77777777" w:rsidR="0062640D" w:rsidRDefault="00C12A80">
            <w:pPr>
              <w:pStyle w:val="Table-Headings"/>
            </w:pPr>
            <w:r>
              <w:t>2023</w:t>
            </w:r>
          </w:p>
        </w:tc>
      </w:tr>
      <w:tr w:rsidR="0062640D" w14:paraId="737C712B" w14:textId="77777777">
        <w:tc>
          <w:tcPr>
            <w:tcW w:w="7823" w:type="dxa"/>
            <w:tcBorders>
              <w:top w:val="nil"/>
              <w:left w:val="nil"/>
              <w:bottom w:val="single" w:sz="6" w:space="0" w:color="FF777C"/>
              <w:right w:val="nil"/>
            </w:tcBorders>
            <w:tcMar>
              <w:top w:w="45" w:type="dxa"/>
              <w:left w:w="0" w:type="dxa"/>
              <w:bottom w:w="56" w:type="dxa"/>
              <w:right w:w="0" w:type="dxa"/>
            </w:tcMar>
            <w:vAlign w:val="bottom"/>
          </w:tcPr>
          <w:p w14:paraId="7DD6C323" w14:textId="77777777" w:rsidR="0062640D" w:rsidRDefault="0062640D"/>
        </w:tc>
        <w:tc>
          <w:tcPr>
            <w:tcW w:w="1133" w:type="dxa"/>
            <w:tcBorders>
              <w:top w:val="nil"/>
              <w:left w:val="nil"/>
              <w:bottom w:val="single" w:sz="6" w:space="0" w:color="FF777C"/>
              <w:right w:val="nil"/>
            </w:tcBorders>
            <w:tcMar>
              <w:top w:w="45" w:type="dxa"/>
              <w:left w:w="0" w:type="dxa"/>
              <w:bottom w:w="56" w:type="dxa"/>
              <w:right w:w="0" w:type="dxa"/>
            </w:tcMar>
            <w:vAlign w:val="bottom"/>
          </w:tcPr>
          <w:p w14:paraId="3308FEC4" w14:textId="77777777" w:rsidR="0062640D" w:rsidRDefault="00C12A80">
            <w:pPr>
              <w:pStyle w:val="Table-Headings"/>
            </w:pPr>
            <w:r>
              <w:t>€’000</w:t>
            </w:r>
          </w:p>
        </w:tc>
        <w:tc>
          <w:tcPr>
            <w:tcW w:w="1133" w:type="dxa"/>
            <w:tcBorders>
              <w:top w:val="nil"/>
              <w:left w:val="nil"/>
              <w:bottom w:val="single" w:sz="6" w:space="0" w:color="FF777C"/>
              <w:right w:val="nil"/>
            </w:tcBorders>
            <w:tcMar>
              <w:top w:w="56" w:type="dxa"/>
              <w:left w:w="0" w:type="dxa"/>
              <w:bottom w:w="56" w:type="dxa"/>
              <w:right w:w="0" w:type="dxa"/>
            </w:tcMar>
            <w:vAlign w:val="bottom"/>
          </w:tcPr>
          <w:p w14:paraId="7B227200" w14:textId="77777777" w:rsidR="0062640D" w:rsidRDefault="00C12A80">
            <w:pPr>
              <w:pStyle w:val="Table-Headings"/>
            </w:pPr>
            <w:r>
              <w:t>€’000</w:t>
            </w:r>
          </w:p>
        </w:tc>
      </w:tr>
      <w:tr w:rsidR="0062640D" w14:paraId="0ED6965D" w14:textId="77777777">
        <w:tc>
          <w:tcPr>
            <w:tcW w:w="782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080E728A" w14:textId="77777777" w:rsidR="0062640D" w:rsidRDefault="00C12A80">
            <w:r>
              <w:t>Salary and other emoluments</w:t>
            </w:r>
          </w:p>
        </w:tc>
        <w:tc>
          <w:tcPr>
            <w:tcW w:w="113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2D4CCB9C" w14:textId="77777777" w:rsidR="0062640D" w:rsidRDefault="00C12A80">
            <w:pPr>
              <w:pStyle w:val="AccountsBold"/>
            </w:pPr>
            <w:r>
              <w:t>2,710</w:t>
            </w:r>
          </w:p>
        </w:tc>
        <w:tc>
          <w:tcPr>
            <w:tcW w:w="113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762BF157" w14:textId="77777777" w:rsidR="0062640D" w:rsidRDefault="00C12A80">
            <w:pPr>
              <w:pStyle w:val="Accounts"/>
            </w:pPr>
            <w:r>
              <w:t>3,575</w:t>
            </w:r>
          </w:p>
        </w:tc>
      </w:tr>
      <w:tr w:rsidR="0062640D" w14:paraId="1919FAAF"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595315B9" w14:textId="77777777" w:rsidR="0062640D" w:rsidRDefault="00C12A80">
            <w:r>
              <w:t>Gain on vesting of share-based awards</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63752CED" w14:textId="77777777" w:rsidR="0062640D" w:rsidRDefault="00C12A80">
            <w:pPr>
              <w:pStyle w:val="AccountsBold"/>
            </w:pPr>
            <w:r>
              <w:t>1,040</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21496E52" w14:textId="77777777" w:rsidR="0062640D" w:rsidRDefault="00C12A80">
            <w:pPr>
              <w:pStyle w:val="Accounts"/>
            </w:pPr>
            <w:r>
              <w:t>230</w:t>
            </w:r>
          </w:p>
        </w:tc>
      </w:tr>
      <w:tr w:rsidR="0062640D" w14:paraId="0A178EBF"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4B2DC93" w14:textId="77777777" w:rsidR="0062640D" w:rsidRDefault="00C12A80">
            <w:r>
              <w:t>Fees</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2CC4B471" w14:textId="77777777" w:rsidR="0062640D" w:rsidRDefault="00C12A80">
            <w:pPr>
              <w:pStyle w:val="AccountsBold"/>
            </w:pPr>
            <w:r>
              <w:t>552</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14B2001" w14:textId="77777777" w:rsidR="0062640D" w:rsidRDefault="00C12A80">
            <w:pPr>
              <w:pStyle w:val="Accounts"/>
            </w:pPr>
            <w:r>
              <w:t>496</w:t>
            </w:r>
          </w:p>
        </w:tc>
      </w:tr>
      <w:tr w:rsidR="0062640D" w14:paraId="572F002D" w14:textId="77777777">
        <w:tc>
          <w:tcPr>
            <w:tcW w:w="7823"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44CBFAB2" w14:textId="77777777" w:rsidR="0062640D" w:rsidRDefault="00C12A80">
            <w:r>
              <w:t>Pension costs – defined contribution</w:t>
            </w:r>
          </w:p>
        </w:tc>
        <w:tc>
          <w:tcPr>
            <w:tcW w:w="1133"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605D592D" w14:textId="77777777" w:rsidR="0062640D" w:rsidRDefault="00C12A80">
            <w:pPr>
              <w:pStyle w:val="AccountsBold"/>
            </w:pPr>
            <w:r>
              <w:t>74</w:t>
            </w:r>
          </w:p>
        </w:tc>
        <w:tc>
          <w:tcPr>
            <w:tcW w:w="1133"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7832FD5E" w14:textId="77777777" w:rsidR="0062640D" w:rsidRDefault="00C12A80">
            <w:pPr>
              <w:pStyle w:val="Accounts"/>
            </w:pPr>
            <w:r>
              <w:t>72</w:t>
            </w:r>
          </w:p>
        </w:tc>
      </w:tr>
      <w:tr w:rsidR="0062640D" w14:paraId="07993E50" w14:textId="77777777">
        <w:tc>
          <w:tcPr>
            <w:tcW w:w="7823" w:type="dxa"/>
            <w:tcBorders>
              <w:top w:val="nil"/>
              <w:left w:val="nil"/>
              <w:bottom w:val="single" w:sz="2" w:space="0" w:color="FF777C"/>
              <w:right w:val="nil"/>
            </w:tcBorders>
            <w:tcMar>
              <w:top w:w="56" w:type="dxa"/>
              <w:left w:w="0" w:type="dxa"/>
              <w:bottom w:w="85" w:type="dxa"/>
              <w:right w:w="0" w:type="dxa"/>
            </w:tcMar>
            <w:vAlign w:val="bottom"/>
          </w:tcPr>
          <w:p w14:paraId="41268FF2" w14:textId="77777777" w:rsidR="0062640D" w:rsidRDefault="00C12A80">
            <w:r>
              <w:t>Transactions with past directors</w:t>
            </w:r>
          </w:p>
        </w:tc>
        <w:tc>
          <w:tcPr>
            <w:tcW w:w="1133" w:type="dxa"/>
            <w:tcBorders>
              <w:top w:val="nil"/>
              <w:left w:val="nil"/>
              <w:bottom w:val="single" w:sz="2" w:space="0" w:color="FF777C"/>
              <w:right w:val="nil"/>
            </w:tcBorders>
            <w:tcMar>
              <w:top w:w="56" w:type="dxa"/>
              <w:left w:w="0" w:type="dxa"/>
              <w:bottom w:w="85" w:type="dxa"/>
              <w:right w:w="0" w:type="dxa"/>
            </w:tcMar>
            <w:vAlign w:val="bottom"/>
          </w:tcPr>
          <w:p w14:paraId="7F6D0955" w14:textId="77777777" w:rsidR="0062640D" w:rsidRDefault="00C12A80">
            <w:pPr>
              <w:pStyle w:val="AccountsBold"/>
            </w:pPr>
            <w:r>
              <w:t>492</w:t>
            </w:r>
          </w:p>
        </w:tc>
        <w:tc>
          <w:tcPr>
            <w:tcW w:w="1133" w:type="dxa"/>
            <w:tcBorders>
              <w:top w:val="nil"/>
              <w:left w:val="nil"/>
              <w:bottom w:val="single" w:sz="2" w:space="0" w:color="FF777C"/>
              <w:right w:val="nil"/>
            </w:tcBorders>
            <w:tcMar>
              <w:top w:w="56" w:type="dxa"/>
              <w:left w:w="0" w:type="dxa"/>
              <w:bottom w:w="85" w:type="dxa"/>
              <w:right w:w="0" w:type="dxa"/>
            </w:tcMar>
            <w:vAlign w:val="bottom"/>
          </w:tcPr>
          <w:p w14:paraId="150BFA97" w14:textId="77777777" w:rsidR="0062640D" w:rsidRDefault="00C12A80">
            <w:pPr>
              <w:pStyle w:val="Accounts"/>
            </w:pPr>
            <w:r>
              <w:t>225</w:t>
            </w:r>
          </w:p>
        </w:tc>
      </w:tr>
      <w:tr w:rsidR="0062640D" w14:paraId="28F6032C" w14:textId="77777777">
        <w:tc>
          <w:tcPr>
            <w:tcW w:w="782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1CF8332B" w14:textId="77777777" w:rsidR="0062640D" w:rsidRDefault="0062640D"/>
        </w:tc>
        <w:tc>
          <w:tcPr>
            <w:tcW w:w="113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78CFC39F" w14:textId="77777777" w:rsidR="0062640D" w:rsidRDefault="00C12A80">
            <w:pPr>
              <w:pStyle w:val="AccountsBold"/>
            </w:pPr>
            <w:r>
              <w:t>4,868</w:t>
            </w:r>
          </w:p>
        </w:tc>
        <w:tc>
          <w:tcPr>
            <w:tcW w:w="113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5590A425" w14:textId="77777777" w:rsidR="0062640D" w:rsidRDefault="00C12A80">
            <w:pPr>
              <w:pStyle w:val="Accounts"/>
            </w:pPr>
            <w:r>
              <w:t>4,598</w:t>
            </w:r>
          </w:p>
        </w:tc>
      </w:tr>
    </w:tbl>
    <w:p w14:paraId="00E47FC3" w14:textId="77777777" w:rsidR="0062640D" w:rsidRDefault="0062640D"/>
    <w:p w14:paraId="590607F9" w14:textId="4EC209E9" w:rsidR="0062640D" w:rsidRDefault="00C12A80">
      <w:r>
        <w:t>Transactions with past directors in 2024 relate to gains associated with the shares issued on vesting of awards under the 2021 LTIP scheme (2023: gains on vesting of awards under the 2020 LTIP). The gain on vesting of share-based awards represents the difference between the quoted share price per ordinary share and the exercise price on the vesting date (</w:t>
      </w:r>
      <w:hyperlink w:anchor="note-8" w:history="1">
        <w:r w:rsidRPr="001D58A0">
          <w:rPr>
            <w:rStyle w:val="Hyperlink"/>
          </w:rPr>
          <w:t>note 8</w:t>
        </w:r>
      </w:hyperlink>
      <w:r>
        <w:t>) for all current directors.</w:t>
      </w:r>
    </w:p>
    <w:p w14:paraId="576CB4C6" w14:textId="77777777" w:rsidR="0062640D" w:rsidRDefault="0062640D"/>
    <w:p w14:paraId="005FE2A8" w14:textId="77777777" w:rsidR="0062640D" w:rsidRDefault="00C12A80">
      <w:r>
        <w:t>Details of the directors’ remuneration, interests in conditional share awards and compensation of former directors are set out in the Remuneration Committee report.</w:t>
      </w:r>
    </w:p>
    <w:p w14:paraId="7986E885" w14:textId="77777777" w:rsidR="0062640D" w:rsidRDefault="0062640D"/>
    <w:p w14:paraId="47933DF0" w14:textId="77777777" w:rsidR="0062640D" w:rsidRDefault="00C12A80">
      <w:pPr>
        <w:pStyle w:val="Heading-1"/>
      </w:pPr>
      <w:r>
        <w:t>4 Administrative expenses</w:t>
      </w:r>
    </w:p>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7823"/>
        <w:gridCol w:w="1166"/>
        <w:gridCol w:w="1100"/>
      </w:tblGrid>
      <w:tr w:rsidR="0062640D" w14:paraId="5F02C4BD" w14:textId="77777777">
        <w:tc>
          <w:tcPr>
            <w:tcW w:w="7823" w:type="dxa"/>
            <w:tcBorders>
              <w:top w:val="nil"/>
              <w:left w:val="nil"/>
              <w:bottom w:val="nil"/>
              <w:right w:val="nil"/>
            </w:tcBorders>
            <w:tcMar>
              <w:top w:w="45" w:type="dxa"/>
              <w:left w:w="0" w:type="dxa"/>
              <w:bottom w:w="0" w:type="dxa"/>
              <w:right w:w="0" w:type="dxa"/>
            </w:tcMar>
            <w:vAlign w:val="bottom"/>
          </w:tcPr>
          <w:p w14:paraId="76BBFF91" w14:textId="77777777" w:rsidR="0062640D" w:rsidRDefault="0062640D"/>
        </w:tc>
        <w:tc>
          <w:tcPr>
            <w:tcW w:w="1166" w:type="dxa"/>
            <w:tcBorders>
              <w:top w:val="nil"/>
              <w:left w:val="nil"/>
              <w:bottom w:val="nil"/>
              <w:right w:val="nil"/>
            </w:tcBorders>
            <w:tcMar>
              <w:top w:w="45" w:type="dxa"/>
              <w:left w:w="0" w:type="dxa"/>
              <w:bottom w:w="0" w:type="dxa"/>
              <w:right w:w="0" w:type="dxa"/>
            </w:tcMar>
            <w:vAlign w:val="bottom"/>
          </w:tcPr>
          <w:p w14:paraId="254866A6" w14:textId="77777777" w:rsidR="0062640D" w:rsidRDefault="00C12A80">
            <w:pPr>
              <w:pStyle w:val="Table-Headings"/>
            </w:pPr>
            <w:r>
              <w:t>2024</w:t>
            </w:r>
          </w:p>
        </w:tc>
        <w:tc>
          <w:tcPr>
            <w:tcW w:w="1100" w:type="dxa"/>
            <w:tcBorders>
              <w:top w:val="nil"/>
              <w:left w:val="nil"/>
              <w:bottom w:val="nil"/>
              <w:right w:val="nil"/>
            </w:tcBorders>
            <w:tcMar>
              <w:top w:w="56" w:type="dxa"/>
              <w:left w:w="0" w:type="dxa"/>
              <w:bottom w:w="0" w:type="dxa"/>
              <w:right w:w="0" w:type="dxa"/>
            </w:tcMar>
            <w:vAlign w:val="bottom"/>
          </w:tcPr>
          <w:p w14:paraId="6596A347" w14:textId="77777777" w:rsidR="0062640D" w:rsidRDefault="00C12A80">
            <w:pPr>
              <w:pStyle w:val="Table-Headings"/>
            </w:pPr>
            <w:r>
              <w:t>2023</w:t>
            </w:r>
          </w:p>
        </w:tc>
      </w:tr>
      <w:tr w:rsidR="0062640D" w14:paraId="6E8BD55D" w14:textId="77777777" w:rsidTr="005E72B0">
        <w:tc>
          <w:tcPr>
            <w:tcW w:w="7823" w:type="dxa"/>
            <w:tcBorders>
              <w:top w:val="nil"/>
              <w:left w:val="nil"/>
              <w:bottom w:val="single" w:sz="6" w:space="0" w:color="FF777C"/>
              <w:right w:val="nil"/>
            </w:tcBorders>
            <w:tcMar>
              <w:top w:w="45" w:type="dxa"/>
              <w:left w:w="0" w:type="dxa"/>
              <w:bottom w:w="56" w:type="dxa"/>
              <w:right w:w="0" w:type="dxa"/>
            </w:tcMar>
            <w:vAlign w:val="bottom"/>
          </w:tcPr>
          <w:p w14:paraId="084280B9" w14:textId="77777777" w:rsidR="0062640D" w:rsidRDefault="0062640D"/>
        </w:tc>
        <w:tc>
          <w:tcPr>
            <w:tcW w:w="1166" w:type="dxa"/>
            <w:tcBorders>
              <w:top w:val="nil"/>
              <w:left w:val="nil"/>
              <w:bottom w:val="single" w:sz="6" w:space="0" w:color="FF777C"/>
              <w:right w:val="nil"/>
            </w:tcBorders>
            <w:tcMar>
              <w:top w:w="45" w:type="dxa"/>
              <w:left w:w="0" w:type="dxa"/>
              <w:bottom w:w="56" w:type="dxa"/>
              <w:right w:w="0" w:type="dxa"/>
            </w:tcMar>
            <w:vAlign w:val="bottom"/>
          </w:tcPr>
          <w:p w14:paraId="7A50E88F" w14:textId="77777777" w:rsidR="0062640D" w:rsidRDefault="00C12A80">
            <w:pPr>
              <w:pStyle w:val="Table-Headings"/>
            </w:pPr>
            <w:r>
              <w:t>€’000</w:t>
            </w:r>
          </w:p>
        </w:tc>
        <w:tc>
          <w:tcPr>
            <w:tcW w:w="1100" w:type="dxa"/>
            <w:tcBorders>
              <w:top w:val="nil"/>
              <w:left w:val="nil"/>
              <w:bottom w:val="single" w:sz="6" w:space="0" w:color="FF777C"/>
              <w:right w:val="nil"/>
            </w:tcBorders>
            <w:tcMar>
              <w:top w:w="56" w:type="dxa"/>
              <w:left w:w="0" w:type="dxa"/>
              <w:bottom w:w="56" w:type="dxa"/>
              <w:right w:w="0" w:type="dxa"/>
            </w:tcMar>
            <w:vAlign w:val="bottom"/>
          </w:tcPr>
          <w:p w14:paraId="0CF6AE5D" w14:textId="77777777" w:rsidR="0062640D" w:rsidRDefault="00C12A80">
            <w:pPr>
              <w:pStyle w:val="Table-Headings"/>
            </w:pPr>
            <w:r>
              <w:t>€’000</w:t>
            </w:r>
          </w:p>
        </w:tc>
      </w:tr>
      <w:tr w:rsidR="005E72B0" w14:paraId="1ECB9310" w14:textId="77777777" w:rsidTr="005E72B0">
        <w:tc>
          <w:tcPr>
            <w:tcW w:w="7823" w:type="dxa"/>
            <w:tcBorders>
              <w:top w:val="nil"/>
              <w:left w:val="nil"/>
              <w:bottom w:val="nil"/>
              <w:right w:val="nil"/>
            </w:tcBorders>
            <w:tcMar>
              <w:top w:w="56" w:type="dxa"/>
              <w:left w:w="0" w:type="dxa"/>
              <w:bottom w:w="85" w:type="dxa"/>
              <w:right w:w="0" w:type="dxa"/>
            </w:tcMar>
            <w:vAlign w:val="bottom"/>
          </w:tcPr>
          <w:p w14:paraId="46682819" w14:textId="0813F710" w:rsidR="005E72B0" w:rsidRDefault="005E72B0">
            <w:r>
              <w:t>Administrative wages and salaries</w:t>
            </w:r>
          </w:p>
        </w:tc>
        <w:tc>
          <w:tcPr>
            <w:tcW w:w="1166" w:type="dxa"/>
            <w:tcBorders>
              <w:top w:val="nil"/>
              <w:left w:val="nil"/>
              <w:bottom w:val="nil"/>
              <w:right w:val="nil"/>
            </w:tcBorders>
            <w:tcMar>
              <w:top w:w="56" w:type="dxa"/>
              <w:left w:w="0" w:type="dxa"/>
              <w:bottom w:w="85" w:type="dxa"/>
              <w:right w:w="0" w:type="dxa"/>
            </w:tcMar>
            <w:vAlign w:val="bottom"/>
          </w:tcPr>
          <w:p w14:paraId="24D71C34" w14:textId="017C4E20" w:rsidR="005E72B0" w:rsidRDefault="005E72B0">
            <w:pPr>
              <w:pStyle w:val="AccountsBold"/>
            </w:pPr>
            <w:r>
              <w:t>76,500</w:t>
            </w:r>
          </w:p>
        </w:tc>
        <w:tc>
          <w:tcPr>
            <w:tcW w:w="1100" w:type="dxa"/>
            <w:tcBorders>
              <w:top w:val="nil"/>
              <w:left w:val="nil"/>
              <w:bottom w:val="nil"/>
              <w:right w:val="nil"/>
            </w:tcBorders>
            <w:tcMar>
              <w:top w:w="56" w:type="dxa"/>
              <w:left w:w="0" w:type="dxa"/>
              <w:bottom w:w="85" w:type="dxa"/>
              <w:right w:w="0" w:type="dxa"/>
            </w:tcMar>
            <w:vAlign w:val="bottom"/>
          </w:tcPr>
          <w:p w14:paraId="6B61B78D" w14:textId="6507DF13" w:rsidR="005E72B0" w:rsidRDefault="005E72B0">
            <w:pPr>
              <w:pStyle w:val="Accounts"/>
            </w:pPr>
            <w:r>
              <w:t>69,178</w:t>
            </w:r>
          </w:p>
        </w:tc>
      </w:tr>
      <w:tr w:rsidR="0062640D" w14:paraId="25BB4213" w14:textId="77777777" w:rsidTr="005E72B0">
        <w:tc>
          <w:tcPr>
            <w:tcW w:w="7823" w:type="dxa"/>
            <w:tcBorders>
              <w:top w:val="nil"/>
              <w:left w:val="none" w:sz="8" w:space="0" w:color="auto"/>
              <w:bottom w:val="none" w:sz="8" w:space="0" w:color="auto"/>
              <w:right w:val="none" w:sz="8" w:space="0" w:color="auto"/>
            </w:tcBorders>
            <w:tcMar>
              <w:top w:w="56" w:type="dxa"/>
              <w:left w:w="0" w:type="dxa"/>
              <w:bottom w:w="85" w:type="dxa"/>
              <w:right w:w="0" w:type="dxa"/>
            </w:tcMar>
            <w:vAlign w:val="bottom"/>
          </w:tcPr>
          <w:p w14:paraId="6225B4E5" w14:textId="6838529F" w:rsidR="0062640D" w:rsidRDefault="00C12A80">
            <w:r>
              <w:t>Depreciation and amortisation (</w:t>
            </w:r>
            <w:hyperlink w:anchor="note-12" w:history="1">
              <w:r w:rsidRPr="001D58A0">
                <w:rPr>
                  <w:rStyle w:val="Hyperlink"/>
                </w:rPr>
                <w:t>note 12</w:t>
              </w:r>
            </w:hyperlink>
            <w:r>
              <w:rPr>
                <w:rStyle w:val="Hyperlink"/>
              </w:rPr>
              <w:t>,</w:t>
            </w:r>
            <w:hyperlink w:anchor="note-13" w:history="1">
              <w:r w:rsidRPr="001D58A0">
                <w:rPr>
                  <w:rStyle w:val="Hyperlink"/>
                </w:rPr>
                <w:t>13</w:t>
              </w:r>
            </w:hyperlink>
            <w:r>
              <w:rPr>
                <w:rStyle w:val="Hyperlink"/>
              </w:rPr>
              <w:t>,</w:t>
            </w:r>
            <w:hyperlink w:anchor="note-14" w:history="1">
              <w:r w:rsidRPr="001D58A0">
                <w:rPr>
                  <w:rStyle w:val="Hyperlink"/>
                </w:rPr>
                <w:t>14</w:t>
              </w:r>
            </w:hyperlink>
            <w:r>
              <w:t>)</w:t>
            </w:r>
          </w:p>
        </w:tc>
        <w:tc>
          <w:tcPr>
            <w:tcW w:w="1166" w:type="dxa"/>
            <w:tcBorders>
              <w:top w:val="nil"/>
              <w:left w:val="none" w:sz="8" w:space="0" w:color="auto"/>
              <w:bottom w:val="none" w:sz="8" w:space="0" w:color="auto"/>
              <w:right w:val="none" w:sz="8" w:space="0" w:color="auto"/>
            </w:tcBorders>
            <w:tcMar>
              <w:top w:w="56" w:type="dxa"/>
              <w:left w:w="0" w:type="dxa"/>
              <w:bottom w:w="85" w:type="dxa"/>
              <w:right w:w="0" w:type="dxa"/>
            </w:tcMar>
            <w:vAlign w:val="bottom"/>
          </w:tcPr>
          <w:p w14:paraId="5B99A7C1" w14:textId="77777777" w:rsidR="0062640D" w:rsidRDefault="00C12A80">
            <w:pPr>
              <w:pStyle w:val="AccountsBold"/>
            </w:pPr>
            <w:r>
              <w:t>73,295</w:t>
            </w:r>
          </w:p>
        </w:tc>
        <w:tc>
          <w:tcPr>
            <w:tcW w:w="1100" w:type="dxa"/>
            <w:tcBorders>
              <w:top w:val="nil"/>
              <w:left w:val="none" w:sz="8" w:space="0" w:color="auto"/>
              <w:bottom w:val="none" w:sz="8" w:space="0" w:color="auto"/>
              <w:right w:val="none" w:sz="8" w:space="0" w:color="auto"/>
            </w:tcBorders>
            <w:tcMar>
              <w:top w:w="56" w:type="dxa"/>
              <w:left w:w="0" w:type="dxa"/>
              <w:bottom w:w="85" w:type="dxa"/>
              <w:right w:w="0" w:type="dxa"/>
            </w:tcMar>
            <w:vAlign w:val="bottom"/>
          </w:tcPr>
          <w:p w14:paraId="30C58CE7" w14:textId="77777777" w:rsidR="0062640D" w:rsidRDefault="00C12A80">
            <w:pPr>
              <w:pStyle w:val="Accounts"/>
            </w:pPr>
            <w:r>
              <w:t>64,104</w:t>
            </w:r>
          </w:p>
        </w:tc>
      </w:tr>
      <w:tr w:rsidR="00EA59C8" w14:paraId="54519560" w14:textId="77777777" w:rsidTr="005E72B0">
        <w:tc>
          <w:tcPr>
            <w:tcW w:w="7823" w:type="dxa"/>
            <w:tcBorders>
              <w:top w:val="nil"/>
              <w:left w:val="none" w:sz="8" w:space="0" w:color="auto"/>
              <w:bottom w:val="none" w:sz="8" w:space="0" w:color="auto"/>
              <w:right w:val="none" w:sz="8" w:space="0" w:color="auto"/>
            </w:tcBorders>
            <w:tcMar>
              <w:top w:w="56" w:type="dxa"/>
              <w:left w:w="0" w:type="dxa"/>
              <w:bottom w:w="85" w:type="dxa"/>
              <w:right w:w="0" w:type="dxa"/>
            </w:tcMar>
            <w:vAlign w:val="bottom"/>
          </w:tcPr>
          <w:p w14:paraId="1300925F" w14:textId="4F766DAE" w:rsidR="00EA59C8" w:rsidRDefault="00EA59C8" w:rsidP="00EA59C8">
            <w:r>
              <w:t>Other administrative expenses</w:t>
            </w:r>
          </w:p>
        </w:tc>
        <w:tc>
          <w:tcPr>
            <w:tcW w:w="1166" w:type="dxa"/>
            <w:tcBorders>
              <w:top w:val="nil"/>
              <w:left w:val="none" w:sz="8" w:space="0" w:color="auto"/>
              <w:bottom w:val="none" w:sz="8" w:space="0" w:color="auto"/>
              <w:right w:val="none" w:sz="8" w:space="0" w:color="auto"/>
            </w:tcBorders>
            <w:tcMar>
              <w:top w:w="56" w:type="dxa"/>
              <w:left w:w="0" w:type="dxa"/>
              <w:bottom w:w="85" w:type="dxa"/>
              <w:right w:w="0" w:type="dxa"/>
            </w:tcMar>
            <w:vAlign w:val="bottom"/>
          </w:tcPr>
          <w:p w14:paraId="17FBF8B7" w14:textId="0D5A8142" w:rsidR="00EA59C8" w:rsidRDefault="00EA59C8" w:rsidP="00EA59C8">
            <w:pPr>
              <w:pStyle w:val="AccountsBold"/>
            </w:pPr>
            <w:r>
              <w:t>61,405</w:t>
            </w:r>
          </w:p>
        </w:tc>
        <w:tc>
          <w:tcPr>
            <w:tcW w:w="1100" w:type="dxa"/>
            <w:tcBorders>
              <w:top w:val="nil"/>
              <w:left w:val="none" w:sz="8" w:space="0" w:color="auto"/>
              <w:bottom w:val="none" w:sz="8" w:space="0" w:color="auto"/>
              <w:right w:val="none" w:sz="8" w:space="0" w:color="auto"/>
            </w:tcBorders>
            <w:tcMar>
              <w:top w:w="56" w:type="dxa"/>
              <w:left w:w="0" w:type="dxa"/>
              <w:bottom w:w="85" w:type="dxa"/>
              <w:right w:w="0" w:type="dxa"/>
            </w:tcMar>
            <w:vAlign w:val="bottom"/>
          </w:tcPr>
          <w:p w14:paraId="388152C8" w14:textId="641D7AAB" w:rsidR="00EA59C8" w:rsidRDefault="00EA59C8" w:rsidP="00EA59C8">
            <w:pPr>
              <w:pStyle w:val="Accounts"/>
            </w:pPr>
            <w:r>
              <w:t>56,977</w:t>
            </w:r>
          </w:p>
        </w:tc>
      </w:tr>
      <w:tr w:rsidR="00EA59C8" w14:paraId="54472E66" w14:textId="77777777" w:rsidTr="005E72B0">
        <w:tc>
          <w:tcPr>
            <w:tcW w:w="7823" w:type="dxa"/>
            <w:tcBorders>
              <w:top w:val="nil"/>
              <w:left w:val="none" w:sz="8" w:space="0" w:color="auto"/>
              <w:bottom w:val="none" w:sz="8" w:space="0" w:color="auto"/>
              <w:right w:val="none" w:sz="8" w:space="0" w:color="auto"/>
            </w:tcBorders>
            <w:tcMar>
              <w:top w:w="56" w:type="dxa"/>
              <w:left w:w="0" w:type="dxa"/>
              <w:bottom w:w="85" w:type="dxa"/>
              <w:right w:w="0" w:type="dxa"/>
            </w:tcMar>
            <w:vAlign w:val="bottom"/>
          </w:tcPr>
          <w:p w14:paraId="7480E7E9" w14:textId="7E2CF457" w:rsidR="00EA59C8" w:rsidRDefault="00EA59C8" w:rsidP="00EA59C8">
            <w:r>
              <w:t>Utilities – electricity and gas</w:t>
            </w:r>
          </w:p>
        </w:tc>
        <w:tc>
          <w:tcPr>
            <w:tcW w:w="1166" w:type="dxa"/>
            <w:tcBorders>
              <w:top w:val="nil"/>
              <w:left w:val="none" w:sz="8" w:space="0" w:color="auto"/>
              <w:bottom w:val="none" w:sz="8" w:space="0" w:color="auto"/>
              <w:right w:val="none" w:sz="8" w:space="0" w:color="auto"/>
            </w:tcBorders>
            <w:tcMar>
              <w:top w:w="56" w:type="dxa"/>
              <w:left w:w="0" w:type="dxa"/>
              <w:bottom w:w="85" w:type="dxa"/>
              <w:right w:w="0" w:type="dxa"/>
            </w:tcMar>
            <w:vAlign w:val="bottom"/>
          </w:tcPr>
          <w:p w14:paraId="104DCA03" w14:textId="1DA6A591" w:rsidR="00EA59C8" w:rsidRDefault="00EA59C8" w:rsidP="00EA59C8">
            <w:pPr>
              <w:pStyle w:val="AccountsBold"/>
            </w:pPr>
            <w:r>
              <w:t>24,762</w:t>
            </w:r>
          </w:p>
        </w:tc>
        <w:tc>
          <w:tcPr>
            <w:tcW w:w="1100" w:type="dxa"/>
            <w:tcBorders>
              <w:top w:val="nil"/>
              <w:left w:val="none" w:sz="8" w:space="0" w:color="auto"/>
              <w:bottom w:val="none" w:sz="8" w:space="0" w:color="auto"/>
              <w:right w:val="none" w:sz="8" w:space="0" w:color="auto"/>
            </w:tcBorders>
            <w:tcMar>
              <w:top w:w="56" w:type="dxa"/>
              <w:left w:w="0" w:type="dxa"/>
              <w:bottom w:w="85" w:type="dxa"/>
              <w:right w:w="0" w:type="dxa"/>
            </w:tcMar>
            <w:vAlign w:val="bottom"/>
          </w:tcPr>
          <w:p w14:paraId="134B8C04" w14:textId="1D2A7E2D" w:rsidR="00EA59C8" w:rsidRDefault="00EA59C8" w:rsidP="00EA59C8">
            <w:pPr>
              <w:pStyle w:val="Accounts"/>
            </w:pPr>
            <w:r>
              <w:t>27,783</w:t>
            </w:r>
          </w:p>
        </w:tc>
      </w:tr>
      <w:tr w:rsidR="00EA59C8" w14:paraId="39F03300"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BE2A9AC" w14:textId="77777777" w:rsidR="00EA59C8" w:rsidRDefault="00EA59C8" w:rsidP="00EA59C8">
            <w:r>
              <w:t>Commercial rates</w:t>
            </w:r>
          </w:p>
        </w:tc>
        <w:tc>
          <w:tcPr>
            <w:tcW w:w="1166"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6193EBFF" w14:textId="77777777" w:rsidR="00EA59C8" w:rsidRDefault="00EA59C8" w:rsidP="00EA59C8">
            <w:pPr>
              <w:pStyle w:val="AccountsBold"/>
            </w:pPr>
            <w:r>
              <w:t>16,016</w:t>
            </w:r>
          </w:p>
        </w:tc>
        <w:tc>
          <w:tcPr>
            <w:tcW w:w="1100"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02D17E8A" w14:textId="77777777" w:rsidR="00EA59C8" w:rsidRDefault="00EA59C8" w:rsidP="00EA59C8">
            <w:pPr>
              <w:pStyle w:val="Accounts"/>
            </w:pPr>
            <w:r>
              <w:t>14,924</w:t>
            </w:r>
          </w:p>
        </w:tc>
      </w:tr>
      <w:tr w:rsidR="00EA59C8" w14:paraId="47093BD5"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4C6E4F5" w14:textId="5A48F08C" w:rsidR="00EA59C8" w:rsidRDefault="00EA59C8" w:rsidP="00EA59C8">
            <w:r>
              <w:t>Variable lease costs (</w:t>
            </w:r>
            <w:hyperlink w:anchor="note-14" w:history="1">
              <w:r w:rsidRPr="001D58A0">
                <w:rPr>
                  <w:rStyle w:val="Hyperlink"/>
                </w:rPr>
                <w:t>note 14</w:t>
              </w:r>
            </w:hyperlink>
            <w:r>
              <w:t>)</w:t>
            </w:r>
          </w:p>
        </w:tc>
        <w:tc>
          <w:tcPr>
            <w:tcW w:w="1166"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D4A5376" w14:textId="77777777" w:rsidR="00EA59C8" w:rsidRDefault="00EA59C8" w:rsidP="00EA59C8">
            <w:pPr>
              <w:pStyle w:val="AccountsBold"/>
            </w:pPr>
            <w:r>
              <w:t>2,644</w:t>
            </w:r>
          </w:p>
        </w:tc>
        <w:tc>
          <w:tcPr>
            <w:tcW w:w="1100"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770A225" w14:textId="77777777" w:rsidR="00EA59C8" w:rsidRDefault="00EA59C8" w:rsidP="00EA59C8">
            <w:pPr>
              <w:pStyle w:val="Accounts"/>
            </w:pPr>
            <w:r>
              <w:t>3,630</w:t>
            </w:r>
          </w:p>
        </w:tc>
      </w:tr>
      <w:tr w:rsidR="00EA59C8" w14:paraId="3F8F0CC8"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5A30F421" w14:textId="2D4ACF09" w:rsidR="00EA59C8" w:rsidRDefault="00EA59C8" w:rsidP="00EA59C8">
            <w:r>
              <w:t>Hotel pre-opening expenses</w:t>
            </w:r>
          </w:p>
        </w:tc>
        <w:tc>
          <w:tcPr>
            <w:tcW w:w="1166"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23128C4D" w14:textId="29F5522E" w:rsidR="00EA59C8" w:rsidRDefault="00EA59C8" w:rsidP="00EA59C8">
            <w:pPr>
              <w:pStyle w:val="AccountsBold"/>
            </w:pPr>
            <w:r>
              <w:t>1,895</w:t>
            </w:r>
          </w:p>
        </w:tc>
        <w:tc>
          <w:tcPr>
            <w:tcW w:w="1100"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99D388C" w14:textId="435E743F" w:rsidR="00EA59C8" w:rsidRDefault="00EA59C8" w:rsidP="00EA59C8">
            <w:pPr>
              <w:pStyle w:val="Accounts"/>
            </w:pPr>
            <w:r>
              <w:t>497</w:t>
            </w:r>
          </w:p>
        </w:tc>
      </w:tr>
      <w:tr w:rsidR="00EA59C8" w14:paraId="72EAD4BF"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02B17238" w14:textId="1853D364" w:rsidR="00EA59C8" w:rsidRDefault="00EA59C8" w:rsidP="00EA59C8">
            <w:r w:rsidRPr="00800CA8">
              <w:t>Impairment charge/(reversal) relating to property, plant and equipment through profit and loss</w:t>
            </w:r>
            <w:r w:rsidRPr="00800CA8" w:rsidDel="00800CA8">
              <w:t xml:space="preserve"> </w:t>
            </w:r>
            <w:r>
              <w:t>(</w:t>
            </w:r>
            <w:hyperlink w:anchor="note-13" w:history="1">
              <w:r w:rsidRPr="001D58A0">
                <w:rPr>
                  <w:rStyle w:val="Hyperlink"/>
                </w:rPr>
                <w:t>note 13</w:t>
              </w:r>
            </w:hyperlink>
            <w:r>
              <w:t>)</w:t>
            </w:r>
          </w:p>
        </w:tc>
        <w:tc>
          <w:tcPr>
            <w:tcW w:w="1166"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6C778ABC" w14:textId="376CBAE2" w:rsidR="00EA59C8" w:rsidRDefault="00EA59C8" w:rsidP="00EA59C8">
            <w:pPr>
              <w:pStyle w:val="AccountsBold"/>
            </w:pPr>
            <w:r>
              <w:t>1,322</w:t>
            </w:r>
          </w:p>
        </w:tc>
        <w:tc>
          <w:tcPr>
            <w:tcW w:w="1100"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1123793" w14:textId="614A37E2" w:rsidR="00EA59C8" w:rsidRDefault="00EA59C8" w:rsidP="00EA59C8">
            <w:pPr>
              <w:pStyle w:val="Accounts"/>
            </w:pPr>
            <w:r>
              <w:t>(2,025)</w:t>
            </w:r>
          </w:p>
        </w:tc>
      </w:tr>
      <w:tr w:rsidR="00EA59C8" w14:paraId="73703D81"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84944C7" w14:textId="77777777" w:rsidR="00EA59C8" w:rsidRDefault="00EA59C8" w:rsidP="00EA59C8">
            <w:r>
              <w:t>Acquisition-related costs</w:t>
            </w:r>
          </w:p>
        </w:tc>
        <w:tc>
          <w:tcPr>
            <w:tcW w:w="1166"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3DE05D6F" w14:textId="29BD4BE8" w:rsidR="00EA59C8" w:rsidRDefault="00EA59C8" w:rsidP="00EA59C8">
            <w:pPr>
              <w:pStyle w:val="AccountsBold"/>
            </w:pPr>
            <w:r>
              <w:t>1,106</w:t>
            </w:r>
          </w:p>
        </w:tc>
        <w:tc>
          <w:tcPr>
            <w:tcW w:w="1100"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636D4EAD" w14:textId="77777777" w:rsidR="00EA59C8" w:rsidRDefault="00EA59C8" w:rsidP="00EA59C8">
            <w:pPr>
              <w:pStyle w:val="Accounts"/>
            </w:pPr>
            <w:r>
              <w:t>4,389</w:t>
            </w:r>
          </w:p>
        </w:tc>
      </w:tr>
      <w:tr w:rsidR="00EA59C8" w14:paraId="2E1A2E0E"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03A9E641" w14:textId="29F76EA1" w:rsidR="00EA59C8" w:rsidRDefault="00EA59C8" w:rsidP="00EA59C8">
            <w:r w:rsidRPr="00925835">
              <w:t>Impairment charge relating to investment property</w:t>
            </w:r>
          </w:p>
        </w:tc>
        <w:tc>
          <w:tcPr>
            <w:tcW w:w="1166"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27F2F619" w14:textId="145BD97A" w:rsidR="00EA59C8" w:rsidRDefault="00EA59C8" w:rsidP="00EA59C8">
            <w:pPr>
              <w:pStyle w:val="AccountsBold"/>
            </w:pPr>
            <w:r>
              <w:t>96</w:t>
            </w:r>
          </w:p>
        </w:tc>
        <w:tc>
          <w:tcPr>
            <w:tcW w:w="1100"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2ED7F68C" w14:textId="22B2DFA2" w:rsidR="00EA59C8" w:rsidRDefault="00EA59C8" w:rsidP="00EA59C8">
            <w:pPr>
              <w:pStyle w:val="Accounts"/>
            </w:pPr>
            <w:r>
              <w:t>-</w:t>
            </w:r>
          </w:p>
        </w:tc>
      </w:tr>
      <w:tr w:rsidR="00EA59C8" w14:paraId="26911B50"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0BB5C24E" w14:textId="4F7D7D4E" w:rsidR="00EA59C8" w:rsidRDefault="00EA59C8" w:rsidP="00EA59C8">
            <w:r w:rsidRPr="00F31D81">
              <w:t>Impairment reversal relating to right-of-use assets</w:t>
            </w:r>
            <w:r w:rsidRPr="00F31D81" w:rsidDel="00F31D81">
              <w:t xml:space="preserve"> </w:t>
            </w:r>
            <w:r>
              <w:t>(</w:t>
            </w:r>
            <w:hyperlink w:anchor="note-14" w:history="1">
              <w:r w:rsidRPr="001D58A0">
                <w:rPr>
                  <w:rStyle w:val="Hyperlink"/>
                </w:rPr>
                <w:t>note 14</w:t>
              </w:r>
            </w:hyperlink>
            <w:r>
              <w:t>)</w:t>
            </w:r>
          </w:p>
        </w:tc>
        <w:tc>
          <w:tcPr>
            <w:tcW w:w="1166"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56EBD99D" w14:textId="18C15C64" w:rsidR="00EA59C8" w:rsidRDefault="00EA59C8" w:rsidP="00EA59C8">
            <w:pPr>
              <w:pStyle w:val="AccountsBold"/>
            </w:pPr>
            <w:r>
              <w:t>(1,719)</w:t>
            </w:r>
          </w:p>
        </w:tc>
        <w:tc>
          <w:tcPr>
            <w:tcW w:w="1100"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31084D7A" w14:textId="4D022146" w:rsidR="00EA59C8" w:rsidRDefault="00EA59C8" w:rsidP="00EA59C8">
            <w:pPr>
              <w:pStyle w:val="Accounts"/>
            </w:pPr>
            <w:r>
              <w:t>-</w:t>
            </w:r>
          </w:p>
        </w:tc>
      </w:tr>
      <w:tr w:rsidR="00EA59C8" w14:paraId="17E27A90" w14:textId="77777777">
        <w:tc>
          <w:tcPr>
            <w:tcW w:w="7823" w:type="dxa"/>
            <w:tcBorders>
              <w:top w:val="none" w:sz="8" w:space="0" w:color="auto"/>
              <w:left w:val="none" w:sz="8" w:space="0" w:color="auto"/>
              <w:bottom w:val="single" w:sz="4" w:space="0" w:color="FF777C"/>
              <w:right w:val="none" w:sz="8" w:space="0" w:color="auto"/>
            </w:tcBorders>
            <w:tcMar>
              <w:top w:w="56" w:type="dxa"/>
              <w:left w:w="0" w:type="dxa"/>
              <w:bottom w:w="85" w:type="dxa"/>
              <w:right w:w="0" w:type="dxa"/>
            </w:tcMar>
            <w:vAlign w:val="bottom"/>
          </w:tcPr>
          <w:p w14:paraId="1FCE3CF7" w14:textId="7E2ADBE5" w:rsidR="00EA59C8" w:rsidRDefault="00EA59C8" w:rsidP="00EA59C8">
            <w:r>
              <w:t>Reversal of prior period insurance provisions (</w:t>
            </w:r>
            <w:hyperlink w:anchor="note-21" w:history="1">
              <w:r w:rsidRPr="001D58A0">
                <w:rPr>
                  <w:rStyle w:val="Hyperlink"/>
                </w:rPr>
                <w:t>note 21</w:t>
              </w:r>
            </w:hyperlink>
            <w:r>
              <w:t>)</w:t>
            </w:r>
          </w:p>
        </w:tc>
        <w:tc>
          <w:tcPr>
            <w:tcW w:w="1166" w:type="dxa"/>
            <w:tcBorders>
              <w:top w:val="none" w:sz="8" w:space="0" w:color="auto"/>
              <w:left w:val="none" w:sz="8" w:space="0" w:color="auto"/>
              <w:bottom w:val="single" w:sz="4" w:space="0" w:color="FF777C"/>
              <w:right w:val="none" w:sz="8" w:space="0" w:color="auto"/>
            </w:tcBorders>
            <w:tcMar>
              <w:top w:w="56" w:type="dxa"/>
              <w:left w:w="0" w:type="dxa"/>
              <w:bottom w:w="85" w:type="dxa"/>
              <w:right w:w="0" w:type="dxa"/>
            </w:tcMar>
            <w:vAlign w:val="bottom"/>
          </w:tcPr>
          <w:p w14:paraId="46059916" w14:textId="77777777" w:rsidR="00EA59C8" w:rsidRDefault="00EA59C8" w:rsidP="00B45D43">
            <w:pPr>
              <w:pStyle w:val="AccountsBold"/>
            </w:pPr>
            <w:r>
              <w:t>(990)</w:t>
            </w:r>
          </w:p>
        </w:tc>
        <w:tc>
          <w:tcPr>
            <w:tcW w:w="1100" w:type="dxa"/>
            <w:tcBorders>
              <w:top w:val="none" w:sz="8" w:space="0" w:color="auto"/>
              <w:left w:val="none" w:sz="8" w:space="0" w:color="auto"/>
              <w:bottom w:val="single" w:sz="4" w:space="0" w:color="FF777C"/>
              <w:right w:val="none" w:sz="8" w:space="0" w:color="auto"/>
            </w:tcBorders>
            <w:tcMar>
              <w:top w:w="56" w:type="dxa"/>
              <w:left w:w="0" w:type="dxa"/>
              <w:bottom w:w="85" w:type="dxa"/>
              <w:right w:w="0" w:type="dxa"/>
            </w:tcMar>
            <w:vAlign w:val="bottom"/>
          </w:tcPr>
          <w:p w14:paraId="5FCEB429" w14:textId="77777777" w:rsidR="00EA59C8" w:rsidRDefault="00EA59C8" w:rsidP="00EA59C8">
            <w:pPr>
              <w:pStyle w:val="Accounts-Bracket"/>
            </w:pPr>
            <w:r>
              <w:t>(927)</w:t>
            </w:r>
          </w:p>
        </w:tc>
      </w:tr>
      <w:tr w:rsidR="00EA59C8" w14:paraId="472C1586" w14:textId="77777777">
        <w:tc>
          <w:tcPr>
            <w:tcW w:w="7823" w:type="dxa"/>
            <w:tcBorders>
              <w:top w:val="single" w:sz="4"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6684AED7" w14:textId="77777777" w:rsidR="00EA59C8" w:rsidRDefault="00EA59C8" w:rsidP="00EA59C8"/>
        </w:tc>
        <w:tc>
          <w:tcPr>
            <w:tcW w:w="1166" w:type="dxa"/>
            <w:tcBorders>
              <w:top w:val="single" w:sz="4"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0B3467B8" w14:textId="7249D6A4" w:rsidR="00EA59C8" w:rsidRDefault="00EA59C8" w:rsidP="00EA59C8">
            <w:pPr>
              <w:pStyle w:val="AccountsBold"/>
            </w:pPr>
            <w:r>
              <w:t>256,332</w:t>
            </w:r>
          </w:p>
        </w:tc>
        <w:tc>
          <w:tcPr>
            <w:tcW w:w="1100" w:type="dxa"/>
            <w:tcBorders>
              <w:top w:val="single" w:sz="4"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747BA9C0" w14:textId="77777777" w:rsidR="00EA59C8" w:rsidRDefault="00EA59C8" w:rsidP="00EA59C8">
            <w:pPr>
              <w:pStyle w:val="Accounts"/>
            </w:pPr>
            <w:r>
              <w:t>238,530</w:t>
            </w:r>
          </w:p>
        </w:tc>
      </w:tr>
    </w:tbl>
    <w:p w14:paraId="01428961" w14:textId="77777777" w:rsidR="0062640D" w:rsidRDefault="0062640D"/>
    <w:p w14:paraId="709CFD97" w14:textId="15CB96DC" w:rsidR="0062640D" w:rsidRDefault="00C12A80">
      <w:r>
        <w:t>Other administrative expenses include costs related to marketing</w:t>
      </w:r>
      <w:r w:rsidR="004453B7">
        <w:t>, commissions</w:t>
      </w:r>
      <w:r>
        <w:t xml:space="preserve"> and general administration.</w:t>
      </w:r>
    </w:p>
    <w:p w14:paraId="7CBCCD3B" w14:textId="77777777" w:rsidR="0062640D" w:rsidRDefault="0062640D"/>
    <w:p w14:paraId="721A5A13" w14:textId="77777777" w:rsidR="0062640D" w:rsidRDefault="00C12A80">
      <w:pPr>
        <w:pStyle w:val="Heading-1"/>
      </w:pPr>
      <w:r>
        <w:t>5 Other income</w:t>
      </w:r>
    </w:p>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7823"/>
        <w:gridCol w:w="1133"/>
        <w:gridCol w:w="1133"/>
      </w:tblGrid>
      <w:tr w:rsidR="0062640D" w14:paraId="40E1534E" w14:textId="77777777">
        <w:tc>
          <w:tcPr>
            <w:tcW w:w="7823" w:type="dxa"/>
            <w:tcBorders>
              <w:top w:val="nil"/>
              <w:left w:val="nil"/>
              <w:bottom w:val="none" w:sz="8" w:space="0" w:color="auto"/>
              <w:right w:val="nil"/>
            </w:tcBorders>
            <w:tcMar>
              <w:top w:w="45" w:type="dxa"/>
              <w:left w:w="0" w:type="dxa"/>
              <w:bottom w:w="0" w:type="dxa"/>
              <w:right w:w="0" w:type="dxa"/>
            </w:tcMar>
            <w:vAlign w:val="bottom"/>
          </w:tcPr>
          <w:p w14:paraId="77FE7EAA" w14:textId="77777777" w:rsidR="0062640D" w:rsidRDefault="0062640D"/>
        </w:tc>
        <w:tc>
          <w:tcPr>
            <w:tcW w:w="1133" w:type="dxa"/>
            <w:tcBorders>
              <w:top w:val="nil"/>
              <w:left w:val="nil"/>
              <w:bottom w:val="none" w:sz="8" w:space="0" w:color="auto"/>
              <w:right w:val="nil"/>
            </w:tcBorders>
            <w:tcMar>
              <w:top w:w="45" w:type="dxa"/>
              <w:left w:w="0" w:type="dxa"/>
              <w:bottom w:w="0" w:type="dxa"/>
              <w:right w:w="0" w:type="dxa"/>
            </w:tcMar>
            <w:vAlign w:val="bottom"/>
          </w:tcPr>
          <w:p w14:paraId="794E3205" w14:textId="77777777" w:rsidR="0062640D" w:rsidRDefault="00C12A80">
            <w:pPr>
              <w:pStyle w:val="Table-Headings"/>
            </w:pPr>
            <w:r>
              <w:t>2024</w:t>
            </w:r>
          </w:p>
        </w:tc>
        <w:tc>
          <w:tcPr>
            <w:tcW w:w="1133" w:type="dxa"/>
            <w:tcBorders>
              <w:top w:val="nil"/>
              <w:left w:val="nil"/>
              <w:bottom w:val="none" w:sz="8" w:space="0" w:color="auto"/>
              <w:right w:val="nil"/>
            </w:tcBorders>
            <w:tcMar>
              <w:top w:w="56" w:type="dxa"/>
              <w:left w:w="0" w:type="dxa"/>
              <w:bottom w:w="0" w:type="dxa"/>
              <w:right w:w="0" w:type="dxa"/>
            </w:tcMar>
            <w:vAlign w:val="bottom"/>
          </w:tcPr>
          <w:p w14:paraId="47E1EA2B" w14:textId="77777777" w:rsidR="0062640D" w:rsidRDefault="00C12A80">
            <w:pPr>
              <w:pStyle w:val="Table-Headings"/>
            </w:pPr>
            <w:r>
              <w:t>2023</w:t>
            </w:r>
          </w:p>
        </w:tc>
      </w:tr>
      <w:tr w:rsidR="0062640D" w14:paraId="3D30A4D1" w14:textId="77777777">
        <w:tc>
          <w:tcPr>
            <w:tcW w:w="7823" w:type="dxa"/>
            <w:tcBorders>
              <w:top w:val="none" w:sz="8" w:space="0" w:color="auto"/>
              <w:left w:val="none" w:sz="8" w:space="0" w:color="auto"/>
              <w:bottom w:val="single" w:sz="8" w:space="0" w:color="FF777C"/>
              <w:right w:val="none" w:sz="8" w:space="0" w:color="auto"/>
            </w:tcBorders>
            <w:tcMar>
              <w:top w:w="45" w:type="dxa"/>
              <w:left w:w="0" w:type="dxa"/>
              <w:bottom w:w="56" w:type="dxa"/>
              <w:right w:w="0" w:type="dxa"/>
            </w:tcMar>
            <w:vAlign w:val="bottom"/>
          </w:tcPr>
          <w:p w14:paraId="1F45AF74" w14:textId="77777777" w:rsidR="0062640D" w:rsidRDefault="0062640D"/>
        </w:tc>
        <w:tc>
          <w:tcPr>
            <w:tcW w:w="1133" w:type="dxa"/>
            <w:tcBorders>
              <w:top w:val="none" w:sz="8" w:space="0" w:color="auto"/>
              <w:left w:val="none" w:sz="8" w:space="0" w:color="auto"/>
              <w:bottom w:val="single" w:sz="8" w:space="0" w:color="FF777C"/>
              <w:right w:val="none" w:sz="8" w:space="0" w:color="auto"/>
            </w:tcBorders>
            <w:tcMar>
              <w:top w:w="45" w:type="dxa"/>
              <w:left w:w="0" w:type="dxa"/>
              <w:bottom w:w="56" w:type="dxa"/>
              <w:right w:w="0" w:type="dxa"/>
            </w:tcMar>
            <w:vAlign w:val="bottom"/>
          </w:tcPr>
          <w:p w14:paraId="4F68BFFE" w14:textId="77777777" w:rsidR="0062640D" w:rsidRDefault="00C12A80">
            <w:pPr>
              <w:pStyle w:val="Table-Headings"/>
            </w:pPr>
            <w:r>
              <w:t>€’000</w:t>
            </w:r>
          </w:p>
        </w:tc>
        <w:tc>
          <w:tcPr>
            <w:tcW w:w="1133" w:type="dxa"/>
            <w:tcBorders>
              <w:top w:val="none" w:sz="8" w:space="0" w:color="auto"/>
              <w:left w:val="none" w:sz="8" w:space="0" w:color="auto"/>
              <w:bottom w:val="single" w:sz="8" w:space="0" w:color="FF777C"/>
              <w:right w:val="none" w:sz="8" w:space="0" w:color="auto"/>
            </w:tcBorders>
            <w:tcMar>
              <w:top w:w="56" w:type="dxa"/>
              <w:left w:w="0" w:type="dxa"/>
              <w:bottom w:w="85" w:type="dxa"/>
              <w:right w:w="0" w:type="dxa"/>
            </w:tcMar>
            <w:vAlign w:val="bottom"/>
          </w:tcPr>
          <w:p w14:paraId="009A5EBA" w14:textId="77777777" w:rsidR="0062640D" w:rsidRDefault="00C12A80">
            <w:pPr>
              <w:pStyle w:val="Table-Headings"/>
            </w:pPr>
            <w:r>
              <w:t>€’000</w:t>
            </w:r>
          </w:p>
        </w:tc>
      </w:tr>
      <w:tr w:rsidR="0062640D" w14:paraId="61815923" w14:textId="77777777">
        <w:tc>
          <w:tcPr>
            <w:tcW w:w="7823" w:type="dxa"/>
            <w:tcBorders>
              <w:top w:val="single" w:sz="8" w:space="0" w:color="FF777C"/>
              <w:left w:val="nil"/>
              <w:bottom w:val="none" w:sz="8" w:space="0" w:color="auto"/>
              <w:right w:val="nil"/>
            </w:tcBorders>
            <w:tcMar>
              <w:top w:w="45" w:type="dxa"/>
              <w:left w:w="0" w:type="dxa"/>
              <w:bottom w:w="56" w:type="dxa"/>
              <w:right w:w="0" w:type="dxa"/>
            </w:tcMar>
            <w:vAlign w:val="bottom"/>
          </w:tcPr>
          <w:p w14:paraId="0E2FB5F4" w14:textId="77777777" w:rsidR="0062640D" w:rsidRDefault="00C12A80">
            <w:r>
              <w:t>Income from managed hotels</w:t>
            </w:r>
          </w:p>
        </w:tc>
        <w:tc>
          <w:tcPr>
            <w:tcW w:w="1133" w:type="dxa"/>
            <w:tcBorders>
              <w:top w:val="single" w:sz="8" w:space="0" w:color="FF777C"/>
              <w:left w:val="nil"/>
              <w:bottom w:val="none" w:sz="8" w:space="0" w:color="auto"/>
              <w:right w:val="nil"/>
            </w:tcBorders>
            <w:tcMar>
              <w:top w:w="45" w:type="dxa"/>
              <w:left w:w="0" w:type="dxa"/>
              <w:bottom w:w="56" w:type="dxa"/>
              <w:right w:w="0" w:type="dxa"/>
            </w:tcMar>
            <w:vAlign w:val="bottom"/>
          </w:tcPr>
          <w:p w14:paraId="57641048" w14:textId="77777777" w:rsidR="0062640D" w:rsidRDefault="00C12A80">
            <w:pPr>
              <w:pStyle w:val="AccountsBold"/>
            </w:pPr>
            <w:r>
              <w:t>1,063</w:t>
            </w:r>
          </w:p>
        </w:tc>
        <w:tc>
          <w:tcPr>
            <w:tcW w:w="1133" w:type="dxa"/>
            <w:tcBorders>
              <w:top w:val="single" w:sz="8" w:space="0" w:color="FF777C"/>
              <w:left w:val="nil"/>
              <w:bottom w:val="none" w:sz="8" w:space="0" w:color="auto"/>
              <w:right w:val="nil"/>
            </w:tcBorders>
            <w:tcMar>
              <w:top w:w="56" w:type="dxa"/>
              <w:left w:w="0" w:type="dxa"/>
              <w:bottom w:w="85" w:type="dxa"/>
              <w:right w:w="0" w:type="dxa"/>
            </w:tcMar>
            <w:vAlign w:val="bottom"/>
          </w:tcPr>
          <w:p w14:paraId="34D16E4D" w14:textId="77777777" w:rsidR="0062640D" w:rsidRDefault="00C12A80">
            <w:pPr>
              <w:pStyle w:val="Accounts"/>
            </w:pPr>
            <w:r>
              <w:t>1,099</w:t>
            </w:r>
          </w:p>
        </w:tc>
      </w:tr>
      <w:tr w:rsidR="0062640D" w14:paraId="2C69BF31" w14:textId="77777777">
        <w:tc>
          <w:tcPr>
            <w:tcW w:w="782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3A457366" w14:textId="77777777" w:rsidR="0062640D" w:rsidRDefault="00C12A80">
            <w:r>
              <w:t xml:space="preserve">Rental income from investment property </w:t>
            </w:r>
          </w:p>
        </w:tc>
        <w:tc>
          <w:tcPr>
            <w:tcW w:w="113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1568E82C" w14:textId="77777777" w:rsidR="0062640D" w:rsidRDefault="00C12A80">
            <w:pPr>
              <w:pStyle w:val="AccountsBold"/>
            </w:pPr>
            <w:r>
              <w:t>384</w:t>
            </w:r>
          </w:p>
        </w:tc>
        <w:tc>
          <w:tcPr>
            <w:tcW w:w="113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749FAAD6" w14:textId="77777777" w:rsidR="0062640D" w:rsidRDefault="00C12A80">
            <w:pPr>
              <w:pStyle w:val="Accounts"/>
            </w:pPr>
            <w:r>
              <w:t>385</w:t>
            </w:r>
          </w:p>
        </w:tc>
      </w:tr>
      <w:tr w:rsidR="0062640D" w14:paraId="7237AC0E" w14:textId="77777777">
        <w:tc>
          <w:tcPr>
            <w:tcW w:w="7823" w:type="dxa"/>
            <w:tcBorders>
              <w:top w:val="single" w:sz="2" w:space="0" w:color="FF777C"/>
              <w:left w:val="nil"/>
              <w:bottom w:val="single" w:sz="6" w:space="0" w:color="FF777C"/>
              <w:right w:val="none" w:sz="8" w:space="0" w:color="auto"/>
            </w:tcBorders>
            <w:tcMar>
              <w:top w:w="45" w:type="dxa"/>
              <w:left w:w="0" w:type="dxa"/>
              <w:bottom w:w="56" w:type="dxa"/>
              <w:right w:w="0" w:type="dxa"/>
            </w:tcMar>
            <w:vAlign w:val="bottom"/>
          </w:tcPr>
          <w:p w14:paraId="6FD88068" w14:textId="77777777" w:rsidR="0062640D" w:rsidRDefault="0062640D"/>
        </w:tc>
        <w:tc>
          <w:tcPr>
            <w:tcW w:w="113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5FC30C2B" w14:textId="77777777" w:rsidR="0062640D" w:rsidRDefault="00C12A80">
            <w:pPr>
              <w:pStyle w:val="AccountsBold"/>
            </w:pPr>
            <w:r>
              <w:t>1,447</w:t>
            </w:r>
          </w:p>
        </w:tc>
        <w:tc>
          <w:tcPr>
            <w:tcW w:w="113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58B6A729" w14:textId="77777777" w:rsidR="0062640D" w:rsidRDefault="00C12A80">
            <w:pPr>
              <w:pStyle w:val="Accounts"/>
            </w:pPr>
            <w:r>
              <w:t>1,484</w:t>
            </w:r>
          </w:p>
        </w:tc>
      </w:tr>
    </w:tbl>
    <w:p w14:paraId="5CD07EF5" w14:textId="77777777" w:rsidR="0062640D" w:rsidRDefault="0062640D"/>
    <w:p w14:paraId="45A3702B" w14:textId="77777777" w:rsidR="0062640D" w:rsidRDefault="00C12A80">
      <w:r>
        <w:t xml:space="preserve">Income from managed hotels represents the fees and other income earned from services provided in relation to partner hotels which are not owned or leased by the Group. </w:t>
      </w:r>
    </w:p>
    <w:p w14:paraId="2A13026E" w14:textId="77777777" w:rsidR="0062640D" w:rsidRDefault="0062640D"/>
    <w:p w14:paraId="36510383" w14:textId="77777777" w:rsidR="0062640D" w:rsidRDefault="00C12A80">
      <w:r>
        <w:t>Rental income from investment property relates to the following properties:</w:t>
      </w:r>
    </w:p>
    <w:p w14:paraId="5D00925A" w14:textId="77777777" w:rsidR="0062640D" w:rsidRDefault="00C12A80">
      <w:pPr>
        <w:pStyle w:val="List-Unordered"/>
      </w:pPr>
      <w:r>
        <w:t>Two commercial properties which are leased to third parties for lease terms of 25 and 30 years;</w:t>
      </w:r>
    </w:p>
    <w:p w14:paraId="79FB77C2" w14:textId="77777777" w:rsidR="0062640D" w:rsidRDefault="00C12A80">
      <w:pPr>
        <w:pStyle w:val="List-Unordered"/>
      </w:pPr>
      <w:r>
        <w:t>A sub-lease of part of Clayton Hotel Cardiff, which is leased to a third party for a lease term of 20 years, with 8 years remaining at 31 December 2024; and</w:t>
      </w:r>
    </w:p>
    <w:p w14:paraId="3F2E515A" w14:textId="77777777" w:rsidR="0062640D" w:rsidRDefault="00C12A80">
      <w:pPr>
        <w:pStyle w:val="List-Unordered"/>
      </w:pPr>
      <w:r>
        <w:t>A sub-lease of part of Clayton Hotel Düsseldorf, which is leased to a third party for a rolling lease term.</w:t>
      </w:r>
    </w:p>
    <w:p w14:paraId="6EF3B78B" w14:textId="77777777" w:rsidR="0062640D" w:rsidRDefault="0062640D"/>
    <w:p w14:paraId="41CD3F10" w14:textId="366D1F24" w:rsidR="005E72B0" w:rsidRPr="006B0F6B" w:rsidRDefault="005E72B0" w:rsidP="005E72B0">
      <w:r w:rsidRPr="006B0F6B">
        <w:t>The carrying value of the investment properties at 31 December 2024 is €1.</w:t>
      </w:r>
      <w:r w:rsidR="00AE333D">
        <w:t>5</w:t>
      </w:r>
      <w:r w:rsidRPr="006B0F6B">
        <w:t xml:space="preserve"> million (2023: €2.0 million). The movement during the year is primarily due to the reclassification of investment property adjacent to </w:t>
      </w:r>
      <w:r w:rsidR="008C2BDB">
        <w:t xml:space="preserve">Clayton Whites Hotel, Wexford </w:t>
      </w:r>
      <w:r w:rsidRPr="006B0F6B">
        <w:t>which has been classified as held for sale at 31 December 2024 (</w:t>
      </w:r>
      <w:hyperlink w:anchor="note-18" w:history="1">
        <w:r w:rsidRPr="001D58A0">
          <w:rPr>
            <w:rStyle w:val="Hyperlink"/>
          </w:rPr>
          <w:t>note 18</w:t>
        </w:r>
      </w:hyperlink>
      <w:r w:rsidRPr="006B0F6B">
        <w:t xml:space="preserve">). </w:t>
      </w:r>
    </w:p>
    <w:p w14:paraId="0ECA09F0" w14:textId="77777777" w:rsidR="0062640D" w:rsidRDefault="0062640D"/>
    <w:p w14:paraId="77EBF4D5" w14:textId="3E2679BB" w:rsidR="0062640D" w:rsidRDefault="00C12A80">
      <w:pPr>
        <w:pStyle w:val="Heading-1"/>
      </w:pPr>
      <w:r>
        <w:t xml:space="preserve">6 </w:t>
      </w:r>
      <w:r w:rsidR="00B706BB">
        <w:t>Net f</w:t>
      </w:r>
      <w:r>
        <w:t>inance costs</w:t>
      </w:r>
    </w:p>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8036"/>
        <w:gridCol w:w="1018"/>
        <w:gridCol w:w="1035"/>
      </w:tblGrid>
      <w:tr w:rsidR="0062640D" w14:paraId="6740D4D6" w14:textId="77777777">
        <w:tc>
          <w:tcPr>
            <w:tcW w:w="8036" w:type="dxa"/>
            <w:tcBorders>
              <w:top w:val="nil"/>
              <w:left w:val="nil"/>
              <w:bottom w:val="nil"/>
              <w:right w:val="nil"/>
            </w:tcBorders>
            <w:tcMar>
              <w:top w:w="0" w:type="dxa"/>
              <w:left w:w="0" w:type="dxa"/>
              <w:bottom w:w="0" w:type="dxa"/>
              <w:right w:w="0" w:type="dxa"/>
            </w:tcMar>
            <w:vAlign w:val="bottom"/>
          </w:tcPr>
          <w:p w14:paraId="321C7582" w14:textId="77777777" w:rsidR="0062640D" w:rsidRDefault="0062640D"/>
        </w:tc>
        <w:tc>
          <w:tcPr>
            <w:tcW w:w="1018" w:type="dxa"/>
            <w:tcBorders>
              <w:top w:val="nil"/>
              <w:left w:val="nil"/>
              <w:bottom w:val="nil"/>
              <w:right w:val="nil"/>
            </w:tcBorders>
            <w:tcMar>
              <w:top w:w="0" w:type="dxa"/>
              <w:left w:w="0" w:type="dxa"/>
              <w:bottom w:w="0" w:type="dxa"/>
              <w:right w:w="0" w:type="dxa"/>
            </w:tcMar>
            <w:vAlign w:val="bottom"/>
          </w:tcPr>
          <w:p w14:paraId="08D4C5E3" w14:textId="77777777" w:rsidR="0062640D" w:rsidRDefault="00C12A80">
            <w:pPr>
              <w:pStyle w:val="Table-Headings"/>
            </w:pPr>
            <w:r>
              <w:t>2024</w:t>
            </w:r>
          </w:p>
        </w:tc>
        <w:tc>
          <w:tcPr>
            <w:tcW w:w="1035" w:type="dxa"/>
            <w:tcBorders>
              <w:top w:val="nil"/>
              <w:left w:val="nil"/>
              <w:bottom w:val="nil"/>
              <w:right w:val="nil"/>
            </w:tcBorders>
            <w:tcMar>
              <w:top w:w="0" w:type="dxa"/>
              <w:left w:w="0" w:type="dxa"/>
              <w:bottom w:w="0" w:type="dxa"/>
              <w:right w:w="0" w:type="dxa"/>
            </w:tcMar>
            <w:vAlign w:val="bottom"/>
          </w:tcPr>
          <w:p w14:paraId="65B837C8" w14:textId="77777777" w:rsidR="0062640D" w:rsidRDefault="00C12A80">
            <w:pPr>
              <w:pStyle w:val="Table-Headings"/>
            </w:pPr>
            <w:r>
              <w:t>2023</w:t>
            </w:r>
          </w:p>
        </w:tc>
      </w:tr>
      <w:tr w:rsidR="0062640D" w14:paraId="5FDC9E8B" w14:textId="77777777">
        <w:tc>
          <w:tcPr>
            <w:tcW w:w="8036" w:type="dxa"/>
            <w:tcBorders>
              <w:top w:val="nil"/>
              <w:left w:val="nil"/>
              <w:bottom w:val="single" w:sz="6" w:space="0" w:color="FF777C"/>
              <w:right w:val="nil"/>
            </w:tcBorders>
            <w:tcMar>
              <w:top w:w="45" w:type="dxa"/>
              <w:left w:w="0" w:type="dxa"/>
              <w:bottom w:w="56" w:type="dxa"/>
              <w:right w:w="0" w:type="dxa"/>
            </w:tcMar>
            <w:vAlign w:val="bottom"/>
          </w:tcPr>
          <w:p w14:paraId="3D320623" w14:textId="77777777" w:rsidR="0062640D" w:rsidRDefault="0062640D"/>
        </w:tc>
        <w:tc>
          <w:tcPr>
            <w:tcW w:w="1018" w:type="dxa"/>
            <w:tcBorders>
              <w:top w:val="nil"/>
              <w:left w:val="nil"/>
              <w:bottom w:val="single" w:sz="6" w:space="0" w:color="FF777C"/>
              <w:right w:val="nil"/>
            </w:tcBorders>
            <w:tcMar>
              <w:top w:w="45" w:type="dxa"/>
              <w:left w:w="0" w:type="dxa"/>
              <w:bottom w:w="56" w:type="dxa"/>
              <w:right w:w="0" w:type="dxa"/>
            </w:tcMar>
            <w:vAlign w:val="bottom"/>
          </w:tcPr>
          <w:p w14:paraId="432231E0" w14:textId="77777777" w:rsidR="0062640D" w:rsidRDefault="00C12A80">
            <w:pPr>
              <w:pStyle w:val="Table-Headings"/>
            </w:pPr>
            <w:r>
              <w:t>€’000</w:t>
            </w:r>
          </w:p>
        </w:tc>
        <w:tc>
          <w:tcPr>
            <w:tcW w:w="1035" w:type="dxa"/>
            <w:tcBorders>
              <w:top w:val="nil"/>
              <w:left w:val="nil"/>
              <w:bottom w:val="single" w:sz="6" w:space="0" w:color="FF777C"/>
              <w:right w:val="nil"/>
            </w:tcBorders>
            <w:tcMar>
              <w:top w:w="56" w:type="dxa"/>
              <w:left w:w="0" w:type="dxa"/>
              <w:bottom w:w="85" w:type="dxa"/>
              <w:right w:w="0" w:type="dxa"/>
            </w:tcMar>
            <w:vAlign w:val="bottom"/>
          </w:tcPr>
          <w:p w14:paraId="11E02AF4" w14:textId="77777777" w:rsidR="0062640D" w:rsidRDefault="00C12A80">
            <w:pPr>
              <w:pStyle w:val="Table-Headings"/>
            </w:pPr>
            <w:r>
              <w:t>€’000</w:t>
            </w:r>
          </w:p>
        </w:tc>
      </w:tr>
      <w:tr w:rsidR="0062640D" w14:paraId="30E6217C" w14:textId="77777777">
        <w:tc>
          <w:tcPr>
            <w:tcW w:w="8036" w:type="dxa"/>
            <w:tcBorders>
              <w:top w:val="single" w:sz="6" w:space="0" w:color="FF777C"/>
              <w:left w:val="nil"/>
              <w:bottom w:val="single" w:sz="2" w:space="0" w:color="FF777C"/>
              <w:right w:val="nil"/>
            </w:tcBorders>
            <w:tcMar>
              <w:top w:w="56" w:type="dxa"/>
              <w:left w:w="0" w:type="dxa"/>
              <w:bottom w:w="85" w:type="dxa"/>
              <w:right w:w="0" w:type="dxa"/>
            </w:tcMar>
            <w:vAlign w:val="bottom"/>
          </w:tcPr>
          <w:p w14:paraId="2DBB1469" w14:textId="4FE55615" w:rsidR="0062640D" w:rsidRDefault="005E72B0">
            <w:r>
              <w:t>Finance</w:t>
            </w:r>
            <w:r w:rsidR="00C12A80">
              <w:t xml:space="preserve"> income</w:t>
            </w:r>
          </w:p>
        </w:tc>
        <w:tc>
          <w:tcPr>
            <w:tcW w:w="1018" w:type="dxa"/>
            <w:tcBorders>
              <w:top w:val="single" w:sz="6" w:space="0" w:color="FF777C"/>
              <w:left w:val="nil"/>
              <w:bottom w:val="single" w:sz="2" w:space="0" w:color="FF777C"/>
              <w:right w:val="nil"/>
            </w:tcBorders>
            <w:tcMar>
              <w:top w:w="56" w:type="dxa"/>
              <w:left w:w="0" w:type="dxa"/>
              <w:bottom w:w="85" w:type="dxa"/>
              <w:right w:w="0" w:type="dxa"/>
            </w:tcMar>
            <w:vAlign w:val="bottom"/>
          </w:tcPr>
          <w:p w14:paraId="7D0AD8C8" w14:textId="77777777" w:rsidR="0062640D" w:rsidRDefault="00C12A80">
            <w:pPr>
              <w:pStyle w:val="Account-BracketBold"/>
            </w:pPr>
            <w:r>
              <w:t>(138)</w:t>
            </w:r>
          </w:p>
        </w:tc>
        <w:tc>
          <w:tcPr>
            <w:tcW w:w="1035" w:type="dxa"/>
            <w:tcBorders>
              <w:top w:val="single" w:sz="6" w:space="0" w:color="FF777C"/>
              <w:left w:val="nil"/>
              <w:bottom w:val="single" w:sz="2" w:space="0" w:color="FF777C"/>
              <w:right w:val="nil"/>
            </w:tcBorders>
            <w:tcMar>
              <w:top w:w="56" w:type="dxa"/>
              <w:left w:w="0" w:type="dxa"/>
              <w:bottom w:w="85" w:type="dxa"/>
              <w:right w:w="0" w:type="dxa"/>
            </w:tcMar>
            <w:vAlign w:val="bottom"/>
          </w:tcPr>
          <w:p w14:paraId="242B6C4A" w14:textId="77777777" w:rsidR="0062640D" w:rsidRDefault="00C12A80">
            <w:pPr>
              <w:pStyle w:val="Accounts"/>
            </w:pPr>
            <w:r>
              <w:t>-</w:t>
            </w:r>
          </w:p>
        </w:tc>
      </w:tr>
      <w:tr w:rsidR="0062640D" w14:paraId="119F0F63" w14:textId="77777777">
        <w:tc>
          <w:tcPr>
            <w:tcW w:w="8036"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079F5A48" w14:textId="77777777" w:rsidR="0062640D" w:rsidRDefault="00C12A80">
            <w:pPr>
              <w:pStyle w:val="Heading-2"/>
            </w:pPr>
            <w:r>
              <w:t>Finance income</w:t>
            </w:r>
          </w:p>
        </w:tc>
        <w:tc>
          <w:tcPr>
            <w:tcW w:w="1018"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07573388" w14:textId="77777777" w:rsidR="0062640D" w:rsidRDefault="00C12A80">
            <w:pPr>
              <w:pStyle w:val="Account-BracketBold"/>
            </w:pPr>
            <w:r>
              <w:t>(138)</w:t>
            </w:r>
          </w:p>
        </w:tc>
        <w:tc>
          <w:tcPr>
            <w:tcW w:w="1035"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3760A4CD" w14:textId="77777777" w:rsidR="0062640D" w:rsidRDefault="00C12A80">
            <w:pPr>
              <w:pStyle w:val="Accounts"/>
            </w:pPr>
            <w:r>
              <w:t>-</w:t>
            </w:r>
          </w:p>
        </w:tc>
      </w:tr>
      <w:tr w:rsidR="0062640D" w14:paraId="116B571A" w14:textId="77777777">
        <w:tc>
          <w:tcPr>
            <w:tcW w:w="8036" w:type="dxa"/>
            <w:tcBorders>
              <w:top w:val="single" w:sz="6" w:space="0" w:color="FF777C"/>
              <w:left w:val="none" w:sz="8" w:space="0" w:color="auto"/>
              <w:bottom w:val="nil"/>
              <w:right w:val="none" w:sz="8" w:space="0" w:color="auto"/>
            </w:tcBorders>
            <w:tcMar>
              <w:top w:w="56" w:type="dxa"/>
              <w:left w:w="0" w:type="dxa"/>
              <w:bottom w:w="85" w:type="dxa"/>
              <w:right w:w="0" w:type="dxa"/>
            </w:tcMar>
            <w:vAlign w:val="bottom"/>
          </w:tcPr>
          <w:p w14:paraId="1E1E044F" w14:textId="77777777" w:rsidR="0062640D" w:rsidRDefault="0062640D"/>
        </w:tc>
        <w:tc>
          <w:tcPr>
            <w:tcW w:w="1018" w:type="dxa"/>
            <w:tcBorders>
              <w:top w:val="single" w:sz="6" w:space="0" w:color="FF777C"/>
              <w:left w:val="none" w:sz="8" w:space="0" w:color="auto"/>
              <w:bottom w:val="nil"/>
              <w:right w:val="none" w:sz="8" w:space="0" w:color="auto"/>
            </w:tcBorders>
            <w:tcMar>
              <w:top w:w="56" w:type="dxa"/>
              <w:left w:w="0" w:type="dxa"/>
              <w:bottom w:w="85" w:type="dxa"/>
              <w:right w:w="0" w:type="dxa"/>
            </w:tcMar>
            <w:vAlign w:val="bottom"/>
          </w:tcPr>
          <w:p w14:paraId="00981F26" w14:textId="77777777" w:rsidR="0062640D" w:rsidRDefault="0062640D"/>
        </w:tc>
        <w:tc>
          <w:tcPr>
            <w:tcW w:w="1035" w:type="dxa"/>
            <w:tcBorders>
              <w:top w:val="single" w:sz="6" w:space="0" w:color="FF777C"/>
              <w:left w:val="none" w:sz="8" w:space="0" w:color="auto"/>
              <w:bottom w:val="nil"/>
              <w:right w:val="none" w:sz="8" w:space="0" w:color="auto"/>
            </w:tcBorders>
            <w:tcMar>
              <w:top w:w="56" w:type="dxa"/>
              <w:left w:w="0" w:type="dxa"/>
              <w:bottom w:w="85" w:type="dxa"/>
              <w:right w:w="0" w:type="dxa"/>
            </w:tcMar>
            <w:vAlign w:val="bottom"/>
          </w:tcPr>
          <w:p w14:paraId="66EF9D1D" w14:textId="77777777" w:rsidR="0062640D" w:rsidRDefault="0062640D"/>
        </w:tc>
      </w:tr>
      <w:tr w:rsidR="0062640D" w14:paraId="26D69DA0" w14:textId="77777777">
        <w:tc>
          <w:tcPr>
            <w:tcW w:w="8036" w:type="dxa"/>
            <w:tcBorders>
              <w:top w:val="nil"/>
              <w:left w:val="nil"/>
              <w:bottom w:val="nil"/>
              <w:right w:val="nil"/>
            </w:tcBorders>
            <w:tcMar>
              <w:top w:w="56" w:type="dxa"/>
              <w:left w:w="0" w:type="dxa"/>
              <w:bottom w:w="85" w:type="dxa"/>
              <w:right w:w="0" w:type="dxa"/>
            </w:tcMar>
            <w:vAlign w:val="bottom"/>
          </w:tcPr>
          <w:p w14:paraId="5DF93F29" w14:textId="1FDA4E7C" w:rsidR="0062640D" w:rsidRDefault="00C12A80">
            <w:r>
              <w:t>Interest on lease liabilities (</w:t>
            </w:r>
            <w:hyperlink w:anchor="note-14" w:history="1">
              <w:r w:rsidRPr="001D58A0">
                <w:rPr>
                  <w:rStyle w:val="Hyperlink"/>
                </w:rPr>
                <w:t>note 14</w:t>
              </w:r>
            </w:hyperlink>
            <w:r>
              <w:t>)</w:t>
            </w:r>
          </w:p>
        </w:tc>
        <w:tc>
          <w:tcPr>
            <w:tcW w:w="1018" w:type="dxa"/>
            <w:tcBorders>
              <w:top w:val="nil"/>
              <w:left w:val="nil"/>
              <w:bottom w:val="nil"/>
              <w:right w:val="nil"/>
            </w:tcBorders>
            <w:tcMar>
              <w:top w:w="56" w:type="dxa"/>
              <w:left w:w="0" w:type="dxa"/>
              <w:bottom w:w="85" w:type="dxa"/>
              <w:right w:w="0" w:type="dxa"/>
            </w:tcMar>
            <w:vAlign w:val="bottom"/>
          </w:tcPr>
          <w:p w14:paraId="3DF8E302" w14:textId="77777777" w:rsidR="0062640D" w:rsidRDefault="00C12A80">
            <w:pPr>
              <w:pStyle w:val="AccountsBold"/>
            </w:pPr>
            <w:r>
              <w:t>49,487</w:t>
            </w:r>
          </w:p>
        </w:tc>
        <w:tc>
          <w:tcPr>
            <w:tcW w:w="1035" w:type="dxa"/>
            <w:tcBorders>
              <w:top w:val="nil"/>
              <w:left w:val="nil"/>
              <w:bottom w:val="nil"/>
              <w:right w:val="nil"/>
            </w:tcBorders>
            <w:tcMar>
              <w:top w:w="56" w:type="dxa"/>
              <w:left w:w="0" w:type="dxa"/>
              <w:bottom w:w="85" w:type="dxa"/>
              <w:right w:w="0" w:type="dxa"/>
            </w:tcMar>
            <w:vAlign w:val="bottom"/>
          </w:tcPr>
          <w:p w14:paraId="102998C6" w14:textId="77777777" w:rsidR="0062640D" w:rsidRDefault="00C12A80">
            <w:pPr>
              <w:pStyle w:val="Accounts"/>
            </w:pPr>
            <w:r>
              <w:t>42,751</w:t>
            </w:r>
          </w:p>
        </w:tc>
      </w:tr>
      <w:tr w:rsidR="0062640D" w14:paraId="3396963C" w14:textId="77777777">
        <w:tc>
          <w:tcPr>
            <w:tcW w:w="8036" w:type="dxa"/>
            <w:tcBorders>
              <w:top w:val="nil"/>
              <w:left w:val="none" w:sz="8" w:space="0" w:color="auto"/>
              <w:bottom w:val="none" w:sz="8" w:space="0" w:color="auto"/>
              <w:right w:val="none" w:sz="8" w:space="0" w:color="auto"/>
            </w:tcBorders>
            <w:tcMar>
              <w:top w:w="56" w:type="dxa"/>
              <w:left w:w="0" w:type="dxa"/>
              <w:bottom w:w="85" w:type="dxa"/>
              <w:right w:w="0" w:type="dxa"/>
            </w:tcMar>
            <w:vAlign w:val="bottom"/>
          </w:tcPr>
          <w:p w14:paraId="1269D7B9" w14:textId="07C99A14" w:rsidR="0062640D" w:rsidRDefault="00C12A80">
            <w:r>
              <w:t>Interest expense on bank loan</w:t>
            </w:r>
            <w:r w:rsidR="005E72B0">
              <w:t>s</w:t>
            </w:r>
          </w:p>
        </w:tc>
        <w:tc>
          <w:tcPr>
            <w:tcW w:w="1018" w:type="dxa"/>
            <w:tcBorders>
              <w:top w:val="nil"/>
              <w:left w:val="none" w:sz="8" w:space="0" w:color="auto"/>
              <w:bottom w:val="none" w:sz="8" w:space="0" w:color="auto"/>
              <w:right w:val="none" w:sz="8" w:space="0" w:color="auto"/>
            </w:tcBorders>
            <w:tcMar>
              <w:top w:w="56" w:type="dxa"/>
              <w:left w:w="0" w:type="dxa"/>
              <w:bottom w:w="85" w:type="dxa"/>
              <w:right w:w="0" w:type="dxa"/>
            </w:tcMar>
            <w:vAlign w:val="bottom"/>
          </w:tcPr>
          <w:p w14:paraId="01858A76" w14:textId="7475E4DB" w:rsidR="0062640D" w:rsidRDefault="005E72B0">
            <w:pPr>
              <w:pStyle w:val="AccountsBold"/>
            </w:pPr>
            <w:r w:rsidRPr="006B0F6B">
              <w:t>16,736</w:t>
            </w:r>
          </w:p>
        </w:tc>
        <w:tc>
          <w:tcPr>
            <w:tcW w:w="1035" w:type="dxa"/>
            <w:tcBorders>
              <w:top w:val="nil"/>
              <w:left w:val="none" w:sz="8" w:space="0" w:color="auto"/>
              <w:bottom w:val="none" w:sz="8" w:space="0" w:color="auto"/>
              <w:right w:val="none" w:sz="8" w:space="0" w:color="auto"/>
            </w:tcBorders>
            <w:tcMar>
              <w:top w:w="56" w:type="dxa"/>
              <w:left w:w="0" w:type="dxa"/>
              <w:bottom w:w="85" w:type="dxa"/>
              <w:right w:w="0" w:type="dxa"/>
            </w:tcMar>
            <w:vAlign w:val="bottom"/>
          </w:tcPr>
          <w:p w14:paraId="7B1D7175" w14:textId="77777777" w:rsidR="0062640D" w:rsidRDefault="00C12A80">
            <w:pPr>
              <w:pStyle w:val="Accounts"/>
            </w:pPr>
            <w:r>
              <w:t>15,665</w:t>
            </w:r>
          </w:p>
        </w:tc>
      </w:tr>
      <w:tr w:rsidR="0062640D" w14:paraId="07EE7D48" w14:textId="77777777">
        <w:tc>
          <w:tcPr>
            <w:tcW w:w="8036"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330E3D0F" w14:textId="77777777" w:rsidR="0062640D" w:rsidRDefault="00C12A80">
            <w:r>
              <w:t>Cash flow hedges – reclassified from other comprehensive income</w:t>
            </w:r>
          </w:p>
        </w:tc>
        <w:tc>
          <w:tcPr>
            <w:tcW w:w="1018"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4494A4E" w14:textId="77777777" w:rsidR="0062640D" w:rsidRDefault="00C12A80">
            <w:pPr>
              <w:pStyle w:val="Account-BracketBold"/>
            </w:pPr>
            <w:r>
              <w:t>(7,688)</w:t>
            </w:r>
          </w:p>
        </w:tc>
        <w:tc>
          <w:tcPr>
            <w:tcW w:w="1035"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AB474B7" w14:textId="77777777" w:rsidR="0062640D" w:rsidRDefault="00C12A80">
            <w:pPr>
              <w:pStyle w:val="Accounts-Bracket"/>
            </w:pPr>
            <w:r>
              <w:t>(6,949)</w:t>
            </w:r>
          </w:p>
        </w:tc>
      </w:tr>
      <w:tr w:rsidR="005E72B0" w14:paraId="598D576A" w14:textId="77777777">
        <w:tc>
          <w:tcPr>
            <w:tcW w:w="8036"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541BB068" w14:textId="0E536E09" w:rsidR="005E72B0" w:rsidRDefault="005E72B0">
            <w:r w:rsidRPr="006B0F6B">
              <w:t>Interest on private placement notes</w:t>
            </w:r>
          </w:p>
        </w:tc>
        <w:tc>
          <w:tcPr>
            <w:tcW w:w="1018"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54B787F" w14:textId="52871D66" w:rsidR="005E72B0" w:rsidRDefault="005E72B0">
            <w:pPr>
              <w:pStyle w:val="Account-BracketBold"/>
            </w:pPr>
            <w:r>
              <w:t>1,597</w:t>
            </w:r>
          </w:p>
        </w:tc>
        <w:tc>
          <w:tcPr>
            <w:tcW w:w="1035"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7B5A7D7E" w14:textId="247FB3EA" w:rsidR="005E72B0" w:rsidRDefault="005E72B0">
            <w:pPr>
              <w:pStyle w:val="Accounts-Bracket"/>
            </w:pPr>
            <w:r>
              <w:t>-</w:t>
            </w:r>
          </w:p>
        </w:tc>
      </w:tr>
      <w:tr w:rsidR="0062640D" w14:paraId="36F4F213" w14:textId="77777777">
        <w:tc>
          <w:tcPr>
            <w:tcW w:w="8036"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6348DCBD" w14:textId="77777777" w:rsidR="0062640D" w:rsidRDefault="00C12A80">
            <w:r>
              <w:t>Modification loss</w:t>
            </w:r>
          </w:p>
        </w:tc>
        <w:tc>
          <w:tcPr>
            <w:tcW w:w="1018"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7D493797" w14:textId="77777777" w:rsidR="0062640D" w:rsidRDefault="00C12A80">
            <w:pPr>
              <w:pStyle w:val="AccountsBold"/>
            </w:pPr>
            <w:r>
              <w:t>7,525</w:t>
            </w:r>
          </w:p>
        </w:tc>
        <w:tc>
          <w:tcPr>
            <w:tcW w:w="1035"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7CE6A280" w14:textId="77777777" w:rsidR="0062640D" w:rsidRDefault="00C12A80">
            <w:pPr>
              <w:pStyle w:val="Accounts-Bracket"/>
            </w:pPr>
            <w:r>
              <w:t>-</w:t>
            </w:r>
          </w:p>
        </w:tc>
      </w:tr>
      <w:tr w:rsidR="0062640D" w14:paraId="16EF146B" w14:textId="77777777">
        <w:tc>
          <w:tcPr>
            <w:tcW w:w="8036"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6DF79A31" w14:textId="77777777" w:rsidR="0062640D" w:rsidRDefault="00C12A80">
            <w:r>
              <w:t>Other finance costs</w:t>
            </w:r>
          </w:p>
        </w:tc>
        <w:tc>
          <w:tcPr>
            <w:tcW w:w="1018"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EE33B17" w14:textId="77777777" w:rsidR="0062640D" w:rsidRDefault="00C12A80">
            <w:pPr>
              <w:pStyle w:val="AccountsBold"/>
            </w:pPr>
            <w:r>
              <w:t>1,232</w:t>
            </w:r>
          </w:p>
        </w:tc>
        <w:tc>
          <w:tcPr>
            <w:tcW w:w="1035"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7E5ED3C4" w14:textId="77777777" w:rsidR="0062640D" w:rsidRDefault="00C12A80">
            <w:pPr>
              <w:pStyle w:val="Accounts"/>
            </w:pPr>
            <w:r>
              <w:t>1,332</w:t>
            </w:r>
          </w:p>
        </w:tc>
      </w:tr>
      <w:tr w:rsidR="0062640D" w14:paraId="1D89B39C" w14:textId="77777777">
        <w:tc>
          <w:tcPr>
            <w:tcW w:w="8036"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6CEF1D44" w14:textId="289ACA5B" w:rsidR="0062640D" w:rsidRDefault="00C12A80">
            <w:r>
              <w:t>Net foreign exchange gain on financing activities</w:t>
            </w:r>
          </w:p>
        </w:tc>
        <w:tc>
          <w:tcPr>
            <w:tcW w:w="1018"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2C42B616" w14:textId="1BCC7B26" w:rsidR="0062640D" w:rsidRDefault="00C12A80">
            <w:pPr>
              <w:pStyle w:val="Account-BracketBold"/>
            </w:pPr>
            <w:r>
              <w:t>(86</w:t>
            </w:r>
            <w:r w:rsidR="005E72B0">
              <w:t>5</w:t>
            </w:r>
            <w:r>
              <w:t>)</w:t>
            </w:r>
          </w:p>
        </w:tc>
        <w:tc>
          <w:tcPr>
            <w:tcW w:w="1035"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650318D" w14:textId="77777777" w:rsidR="0062640D" w:rsidRDefault="00C12A80">
            <w:pPr>
              <w:pStyle w:val="Accounts-Bracket"/>
            </w:pPr>
            <w:r>
              <w:t>(180)</w:t>
            </w:r>
          </w:p>
        </w:tc>
      </w:tr>
      <w:tr w:rsidR="0062640D" w14:paraId="25C96807" w14:textId="77777777">
        <w:tc>
          <w:tcPr>
            <w:tcW w:w="8036"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46BC22CA" w14:textId="7012FE02" w:rsidR="0062640D" w:rsidRDefault="00C12A80">
            <w:r>
              <w:t>Interest capitalised to property, plant and equipment (</w:t>
            </w:r>
            <w:hyperlink w:anchor="note-13" w:history="1">
              <w:r w:rsidRPr="001D58A0">
                <w:rPr>
                  <w:rStyle w:val="Hyperlink"/>
                </w:rPr>
                <w:t>note 13</w:t>
              </w:r>
            </w:hyperlink>
            <w:r>
              <w:t>)</w:t>
            </w:r>
          </w:p>
        </w:tc>
        <w:tc>
          <w:tcPr>
            <w:tcW w:w="1018"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3A8F8549" w14:textId="77777777" w:rsidR="0062640D" w:rsidRDefault="00C12A80">
            <w:pPr>
              <w:pStyle w:val="Account-BracketBold"/>
            </w:pPr>
            <w:r>
              <w:t>(666)</w:t>
            </w:r>
          </w:p>
        </w:tc>
        <w:tc>
          <w:tcPr>
            <w:tcW w:w="1035"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2EF91C8F" w14:textId="77777777" w:rsidR="0062640D" w:rsidRDefault="00C12A80">
            <w:pPr>
              <w:pStyle w:val="Accounts-Bracket"/>
            </w:pPr>
            <w:r>
              <w:t>(2,008)</w:t>
            </w:r>
          </w:p>
        </w:tc>
      </w:tr>
      <w:tr w:rsidR="0062640D" w14:paraId="44FE07C1" w14:textId="77777777">
        <w:tc>
          <w:tcPr>
            <w:tcW w:w="8036" w:type="dxa"/>
            <w:tcBorders>
              <w:top w:val="single" w:sz="2" w:space="0" w:color="FF777C"/>
              <w:left w:val="none" w:sz="8" w:space="0" w:color="auto"/>
              <w:bottom w:val="single" w:sz="2" w:space="0" w:color="FF777C"/>
              <w:right w:val="none" w:sz="8" w:space="0" w:color="auto"/>
            </w:tcBorders>
            <w:tcMar>
              <w:top w:w="56" w:type="dxa"/>
              <w:left w:w="0" w:type="dxa"/>
              <w:bottom w:w="85" w:type="dxa"/>
              <w:right w:w="0" w:type="dxa"/>
            </w:tcMar>
            <w:vAlign w:val="bottom"/>
          </w:tcPr>
          <w:p w14:paraId="3AA8925C" w14:textId="77777777" w:rsidR="0062640D" w:rsidRDefault="00C12A80">
            <w:pPr>
              <w:pStyle w:val="Heading-2"/>
            </w:pPr>
            <w:r>
              <w:t>Finance costs</w:t>
            </w:r>
          </w:p>
        </w:tc>
        <w:tc>
          <w:tcPr>
            <w:tcW w:w="1018" w:type="dxa"/>
            <w:tcBorders>
              <w:top w:val="single" w:sz="2" w:space="0" w:color="FF777C"/>
              <w:left w:val="none" w:sz="8" w:space="0" w:color="auto"/>
              <w:bottom w:val="single" w:sz="2" w:space="0" w:color="FF777C"/>
              <w:right w:val="none" w:sz="8" w:space="0" w:color="auto"/>
            </w:tcBorders>
            <w:tcMar>
              <w:top w:w="56" w:type="dxa"/>
              <w:left w:w="0" w:type="dxa"/>
              <w:bottom w:w="85" w:type="dxa"/>
              <w:right w:w="0" w:type="dxa"/>
            </w:tcMar>
            <w:vAlign w:val="bottom"/>
          </w:tcPr>
          <w:p w14:paraId="7003A7A3" w14:textId="073A817D" w:rsidR="0062640D" w:rsidRDefault="00C12A80">
            <w:pPr>
              <w:pStyle w:val="AccountsBold"/>
            </w:pPr>
            <w:r>
              <w:t>67,3</w:t>
            </w:r>
            <w:r w:rsidR="005E72B0">
              <w:t>58</w:t>
            </w:r>
          </w:p>
        </w:tc>
        <w:tc>
          <w:tcPr>
            <w:tcW w:w="1035" w:type="dxa"/>
            <w:tcBorders>
              <w:top w:val="single" w:sz="2" w:space="0" w:color="FF777C"/>
              <w:left w:val="none" w:sz="8" w:space="0" w:color="auto"/>
              <w:bottom w:val="single" w:sz="2" w:space="0" w:color="FF777C"/>
              <w:right w:val="none" w:sz="8" w:space="0" w:color="auto"/>
            </w:tcBorders>
            <w:tcMar>
              <w:top w:w="56" w:type="dxa"/>
              <w:left w:w="0" w:type="dxa"/>
              <w:bottom w:w="85" w:type="dxa"/>
              <w:right w:w="0" w:type="dxa"/>
            </w:tcMar>
            <w:vAlign w:val="bottom"/>
          </w:tcPr>
          <w:p w14:paraId="57431EB6" w14:textId="77777777" w:rsidR="0062640D" w:rsidRDefault="00C12A80">
            <w:pPr>
              <w:pStyle w:val="Accounts"/>
            </w:pPr>
            <w:r>
              <w:t>50,611</w:t>
            </w:r>
          </w:p>
        </w:tc>
      </w:tr>
      <w:tr w:rsidR="0062640D" w14:paraId="7850EF92" w14:textId="77777777">
        <w:tc>
          <w:tcPr>
            <w:tcW w:w="8036"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607C5692" w14:textId="3D127B12" w:rsidR="0062640D" w:rsidRDefault="00C12A80">
            <w:pPr>
              <w:pStyle w:val="Heading-2"/>
            </w:pPr>
            <w:r>
              <w:t xml:space="preserve">Net </w:t>
            </w:r>
            <w:r w:rsidR="005E72B0">
              <w:t>f</w:t>
            </w:r>
            <w:r>
              <w:t>inance costs</w:t>
            </w:r>
          </w:p>
        </w:tc>
        <w:tc>
          <w:tcPr>
            <w:tcW w:w="1018"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1D12089E" w14:textId="3FA3B7E9" w:rsidR="0062640D" w:rsidRDefault="00C12A80">
            <w:pPr>
              <w:pStyle w:val="AccountsBold"/>
            </w:pPr>
            <w:r>
              <w:t>67,22</w:t>
            </w:r>
            <w:r w:rsidR="005E72B0">
              <w:t>0</w:t>
            </w:r>
          </w:p>
        </w:tc>
        <w:tc>
          <w:tcPr>
            <w:tcW w:w="1035"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57E14640" w14:textId="77777777" w:rsidR="0062640D" w:rsidRDefault="00C12A80">
            <w:pPr>
              <w:pStyle w:val="Accounts"/>
            </w:pPr>
            <w:r>
              <w:t>50,611</w:t>
            </w:r>
          </w:p>
        </w:tc>
      </w:tr>
    </w:tbl>
    <w:p w14:paraId="5403AA93" w14:textId="77777777" w:rsidR="0062640D" w:rsidRDefault="0062640D"/>
    <w:p w14:paraId="2CB7CD7B" w14:textId="4711DA58" w:rsidR="005E72B0" w:rsidRDefault="005E72B0" w:rsidP="007F042B">
      <w:r w:rsidRPr="006B0F6B">
        <w:t>In</w:t>
      </w:r>
      <w:r>
        <w:t xml:space="preserve"> </w:t>
      </w:r>
      <w:r w:rsidRPr="006B0F6B">
        <w:t>October 2024, the Group successfully completed a refinancing of its existing banking facilities to provide a €475 million multicurrency loan facility consisting of a €100.0 million green term loan and €375.0 million revolving credit facility for a five-year term to 9 October 2029, with two options to extend by a year. As a result, the Group assessed whether the discounted cash flows under the new facility discounted at the old effective interest rate were substantially different from the discount</w:t>
      </w:r>
      <w:r w:rsidR="00C66773">
        <w:t>ed</w:t>
      </w:r>
      <w:r w:rsidRPr="006B0F6B">
        <w:t xml:space="preserve"> cash flows under the original facility. Based on this assessment, the bank loans were deemed to be substantially modified which resulted in a modification loss of €7.5 million, which is inclusive of €4.8 million of costs relating to the new facility, being recognised in profit or loss during the year ended 31 December 2024 (</w:t>
      </w:r>
      <w:hyperlink w:anchor="note-22" w:history="1">
        <w:r w:rsidRPr="001D58A0">
          <w:rPr>
            <w:rStyle w:val="Hyperlink"/>
          </w:rPr>
          <w:t>note 22</w:t>
        </w:r>
      </w:hyperlink>
      <w:r w:rsidRPr="006B0F6B">
        <w:t xml:space="preserve">). </w:t>
      </w:r>
    </w:p>
    <w:p w14:paraId="66BDB3B2" w14:textId="77777777" w:rsidR="007F042B" w:rsidRPr="006B0F6B" w:rsidRDefault="007F042B" w:rsidP="007F042B"/>
    <w:p w14:paraId="2252C1AD" w14:textId="1D116AA0" w:rsidR="005E72B0" w:rsidRDefault="005E72B0" w:rsidP="007F042B">
      <w:pPr>
        <w:rPr>
          <w:szCs w:val="17"/>
          <w:lang w:val="en-IE"/>
        </w:rPr>
      </w:pPr>
      <w:r w:rsidRPr="006B0F6B">
        <w:t xml:space="preserve">The Group also completed </w:t>
      </w:r>
      <w:r w:rsidR="001F491D">
        <w:t>the</w:t>
      </w:r>
      <w:r w:rsidRPr="006B0F6B">
        <w:t xml:space="preserve"> issuance of €124.7 million of green</w:t>
      </w:r>
      <w:r>
        <w:t xml:space="preserve"> private placement</w:t>
      </w:r>
      <w:r w:rsidRPr="006B0F6B">
        <w:t xml:space="preserve"> loan notes to institutional investors for terms of five and seven years. </w:t>
      </w:r>
      <w:r w:rsidRPr="006B0F6B">
        <w:rPr>
          <w:szCs w:val="17"/>
        </w:rPr>
        <w:t>Costs in relation to the private placement are included in the carrying value of the loans notes and are amortised over the terms of the loan notes at the effective interest rate (</w:t>
      </w:r>
      <w:hyperlink w:anchor="note-22" w:history="1">
        <w:r w:rsidRPr="001D58A0">
          <w:rPr>
            <w:rStyle w:val="Hyperlink"/>
          </w:rPr>
          <w:t>note 22</w:t>
        </w:r>
      </w:hyperlink>
      <w:r w:rsidRPr="006B0F6B">
        <w:rPr>
          <w:szCs w:val="17"/>
        </w:rPr>
        <w:t>).</w:t>
      </w:r>
      <w:r>
        <w:rPr>
          <w:szCs w:val="17"/>
        </w:rPr>
        <w:t xml:space="preserve"> </w:t>
      </w:r>
      <w:r w:rsidRPr="009C40EF">
        <w:rPr>
          <w:szCs w:val="17"/>
          <w:lang w:val="en-IE"/>
        </w:rPr>
        <w:t>The private placement notes carry a fixed coupon rate. However, where the Group's Net Debt to EBITDA after rent, calculated in line with borrowing covenants, exceeds certain ratchet levels, varying premiums are added to the coupon rate depending on the ratchet level.</w:t>
      </w:r>
    </w:p>
    <w:p w14:paraId="2CC1809F" w14:textId="77777777" w:rsidR="007F042B" w:rsidRPr="006B0F6B" w:rsidRDefault="007F042B" w:rsidP="007F042B">
      <w:pPr>
        <w:rPr>
          <w:szCs w:val="17"/>
        </w:rPr>
      </w:pPr>
    </w:p>
    <w:p w14:paraId="5BDCC317" w14:textId="4DC63E38" w:rsidR="005E72B0" w:rsidRDefault="005E72B0" w:rsidP="007F042B">
      <w:r w:rsidRPr="006B0F6B">
        <w:t>The Group uses interest rate swaps to convert the interest rate on part of its bank loans from floating rate to fixed rate (</w:t>
      </w:r>
      <w:hyperlink w:anchor="note-23" w:history="1">
        <w:r w:rsidRPr="001D58A0">
          <w:rPr>
            <w:rStyle w:val="Hyperlink"/>
          </w:rPr>
          <w:t>note 23</w:t>
        </w:r>
      </w:hyperlink>
      <w:r w:rsidRPr="006B0F6B">
        <w:t xml:space="preserve">). The cash flow hedge amount reclassified from other comprehensive income is shown separately within finance costs and primarily represents the additional interest received by the Group </w:t>
      </w:r>
      <w:proofErr w:type="gramStart"/>
      <w:r w:rsidRPr="006B0F6B">
        <w:t>as a result of</w:t>
      </w:r>
      <w:proofErr w:type="gramEnd"/>
      <w:r w:rsidRPr="006B0F6B">
        <w:t xml:space="preserve"> the interest rate swaps. The Group’s interest rate swaps, which hedged the interest rate on the previously drawn </w:t>
      </w:r>
      <w:r w:rsidR="00FC672A">
        <w:t>s</w:t>
      </w:r>
      <w:r w:rsidRPr="006B0F6B">
        <w:t xml:space="preserve">terling term loan of £176.5 million, matured in October 2024. As a result of the refinancing in October 2024, the Group </w:t>
      </w:r>
      <w:proofErr w:type="gramStart"/>
      <w:r w:rsidRPr="006B0F6B">
        <w:t>entered into</w:t>
      </w:r>
      <w:proofErr w:type="gramEnd"/>
      <w:r w:rsidRPr="006B0F6B">
        <w:t xml:space="preserve"> new interest rate swaps to hedge the variable interest rate on the new term loan for four years to October 2028 (</w:t>
      </w:r>
      <w:hyperlink w:anchor="note-23" w:history="1">
        <w:r w:rsidRPr="001D58A0">
          <w:rPr>
            <w:rStyle w:val="Hyperlink"/>
          </w:rPr>
          <w:t>note 23</w:t>
        </w:r>
      </w:hyperlink>
      <w:r w:rsidRPr="006B0F6B">
        <w:t>). Margins on the Group’s bank loans are set with reference to the Net Debt to EBITDA after rent covenant levels and ratchet up or down accordingly.</w:t>
      </w:r>
    </w:p>
    <w:p w14:paraId="7DFCDD94" w14:textId="77777777" w:rsidR="007F042B" w:rsidRPr="006B0F6B" w:rsidRDefault="007F042B" w:rsidP="007F042B"/>
    <w:p w14:paraId="031EB9DF" w14:textId="1721CA6D" w:rsidR="007F042B" w:rsidRDefault="00585F2A" w:rsidP="00585F2A">
      <w:pPr>
        <w:spacing w:after="160" w:line="257" w:lineRule="auto"/>
        <w:jc w:val="both"/>
      </w:pPr>
      <w:r w:rsidRPr="006B0F6B">
        <w:t>Other finance costs include commitment fees and other banking and professional fees. Net foreign exchange gains on financing activities relate principally to loans which did not form part of the net investment hedge (</w:t>
      </w:r>
      <w:hyperlink w:anchor="note-25" w:history="1">
        <w:r w:rsidRPr="001D58A0">
          <w:rPr>
            <w:rStyle w:val="Hyperlink"/>
          </w:rPr>
          <w:t>note 25</w:t>
        </w:r>
      </w:hyperlink>
      <w:r w:rsidRPr="006B0F6B">
        <w:t>).</w:t>
      </w:r>
    </w:p>
    <w:p w14:paraId="64628AB2" w14:textId="2EAAA646" w:rsidR="00EB3809" w:rsidRDefault="005077F4" w:rsidP="00585F2A">
      <w:pPr>
        <w:spacing w:after="160" w:line="257" w:lineRule="auto"/>
        <w:jc w:val="both"/>
      </w:pPr>
      <w:r w:rsidRPr="005077F4">
        <w:t xml:space="preserve">Finance costs incurred for qualifying assets, which take a substantial </w:t>
      </w:r>
      <w:proofErr w:type="gramStart"/>
      <w:r w:rsidRPr="005077F4">
        <w:t>period of time</w:t>
      </w:r>
      <w:proofErr w:type="gramEnd"/>
      <w:r w:rsidRPr="005077F4">
        <w:t xml:space="preserve"> to construct, are added to the cost of the asset during the period of time required to complete and prepare the asset for its intended use or sale. The Group uses two capitalisation rates being the Euro and Sterling weighted average interest rates of borrowings and loan notes, including the impact of hedging if any, which are applied to qualifying assets based on the currency of their geographic jurisdiction. Capitalisation commences on the date on which the Group undertakes activities that are necessary to prepare the asset for its intended use. Capitalisation of borrowing costs ceases when the asset is ready for its intended use</w:t>
      </w:r>
      <w:r w:rsidR="0081559D">
        <w:t xml:space="preserve"> </w:t>
      </w:r>
      <w:r w:rsidR="0081559D" w:rsidRPr="0081559D">
        <w:t>and is suspended when an active development is delayed over an extended period</w:t>
      </w:r>
      <w:r w:rsidR="00272DD4">
        <w:t xml:space="preserve"> </w:t>
      </w:r>
      <w:r w:rsidR="00272DD4" w:rsidRPr="00272DD4">
        <w:t>and where costs are not deemed recoverable</w:t>
      </w:r>
      <w:r w:rsidRPr="005077F4">
        <w:t>.</w:t>
      </w:r>
    </w:p>
    <w:p w14:paraId="7906539F" w14:textId="52FCBEAB" w:rsidR="005E72B0" w:rsidRPr="006B0F6B" w:rsidRDefault="005E72B0" w:rsidP="007F042B">
      <w:r w:rsidRPr="006B0F6B">
        <w:t>Interest on bank loans and private placement loan notes amounting to €0.7 million was capitalised to assets under construction on the basis that these costs were directly attributable to the construction of qualifying assets (</w:t>
      </w:r>
      <w:hyperlink w:anchor="note-13" w:history="1">
        <w:r w:rsidRPr="001D58A0">
          <w:rPr>
            <w:rStyle w:val="Hyperlink"/>
          </w:rPr>
          <w:t>note 13</w:t>
        </w:r>
      </w:hyperlink>
      <w:r w:rsidRPr="006B0F6B">
        <w:t xml:space="preserve">) (2023: </w:t>
      </w:r>
      <w:r>
        <w:t>€</w:t>
      </w:r>
      <w:r w:rsidRPr="006B0F6B">
        <w:t xml:space="preserve">2.0 million). The capitalisation rates applied by the Group, which were reflective of the weighted average interest cost in respect of </w:t>
      </w:r>
      <w:r w:rsidR="00F240E8">
        <w:t>s</w:t>
      </w:r>
      <w:r w:rsidRPr="006B0F6B">
        <w:t>terling denominated borrowings for the relevant capitalisation period, were 3.85% (2023: 3.2%).</w:t>
      </w:r>
    </w:p>
    <w:p w14:paraId="6C2F3879" w14:textId="77777777" w:rsidR="0062640D" w:rsidRDefault="0062640D"/>
    <w:p w14:paraId="6A966062" w14:textId="77777777" w:rsidR="0062640D" w:rsidRDefault="00C12A80">
      <w:pPr>
        <w:pStyle w:val="Heading-1"/>
      </w:pPr>
      <w:r>
        <w:t>7 Personnel expenses</w:t>
      </w:r>
    </w:p>
    <w:p w14:paraId="25FC7522" w14:textId="77777777" w:rsidR="0062640D" w:rsidRDefault="0062640D"/>
    <w:p w14:paraId="6126518C" w14:textId="77777777" w:rsidR="0062640D" w:rsidRDefault="00C12A80">
      <w:r>
        <w:t>The average number of persons (full-time equivalents) employed by the Group (including Executive Directors), analysed by category, was as follows:</w:t>
      </w:r>
    </w:p>
    <w:p w14:paraId="16134A8B" w14:textId="77777777" w:rsidR="0062640D" w:rsidRDefault="0062640D"/>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7823"/>
        <w:gridCol w:w="1133"/>
        <w:gridCol w:w="1133"/>
      </w:tblGrid>
      <w:tr w:rsidR="0062640D" w14:paraId="4B821C3F" w14:textId="77777777">
        <w:tc>
          <w:tcPr>
            <w:tcW w:w="7823" w:type="dxa"/>
            <w:tcBorders>
              <w:top w:val="nil"/>
              <w:left w:val="nil"/>
              <w:bottom w:val="single" w:sz="6" w:space="0" w:color="FF777C"/>
              <w:right w:val="nil"/>
            </w:tcBorders>
            <w:tcMar>
              <w:top w:w="45" w:type="dxa"/>
              <w:left w:w="0" w:type="dxa"/>
              <w:bottom w:w="56" w:type="dxa"/>
              <w:right w:w="0" w:type="dxa"/>
            </w:tcMar>
            <w:vAlign w:val="bottom"/>
          </w:tcPr>
          <w:p w14:paraId="7D1F726F" w14:textId="77777777" w:rsidR="0062640D" w:rsidRDefault="0062640D"/>
        </w:tc>
        <w:tc>
          <w:tcPr>
            <w:tcW w:w="1133" w:type="dxa"/>
            <w:tcBorders>
              <w:top w:val="nil"/>
              <w:left w:val="nil"/>
              <w:bottom w:val="single" w:sz="6" w:space="0" w:color="FF777C"/>
              <w:right w:val="nil"/>
            </w:tcBorders>
            <w:tcMar>
              <w:top w:w="45" w:type="dxa"/>
              <w:left w:w="0" w:type="dxa"/>
              <w:bottom w:w="56" w:type="dxa"/>
              <w:right w:w="0" w:type="dxa"/>
            </w:tcMar>
            <w:vAlign w:val="bottom"/>
          </w:tcPr>
          <w:p w14:paraId="3A761884" w14:textId="77777777" w:rsidR="0062640D" w:rsidRDefault="00C12A80">
            <w:pPr>
              <w:pStyle w:val="Table-Headings"/>
            </w:pPr>
            <w:r>
              <w:t>2024</w:t>
            </w:r>
          </w:p>
        </w:tc>
        <w:tc>
          <w:tcPr>
            <w:tcW w:w="1133" w:type="dxa"/>
            <w:tcBorders>
              <w:top w:val="nil"/>
              <w:left w:val="nil"/>
              <w:bottom w:val="single" w:sz="6" w:space="0" w:color="FF777C"/>
              <w:right w:val="nil"/>
            </w:tcBorders>
            <w:tcMar>
              <w:top w:w="56" w:type="dxa"/>
              <w:left w:w="0" w:type="dxa"/>
              <w:bottom w:w="56" w:type="dxa"/>
              <w:right w:w="0" w:type="dxa"/>
            </w:tcMar>
            <w:vAlign w:val="bottom"/>
          </w:tcPr>
          <w:p w14:paraId="5F975419" w14:textId="77777777" w:rsidR="0062640D" w:rsidRDefault="00C12A80">
            <w:pPr>
              <w:pStyle w:val="Table-Headings"/>
            </w:pPr>
            <w:r>
              <w:t>2023</w:t>
            </w:r>
          </w:p>
        </w:tc>
      </w:tr>
      <w:tr w:rsidR="0062640D" w14:paraId="17094D20" w14:textId="77777777">
        <w:tc>
          <w:tcPr>
            <w:tcW w:w="782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59827C92" w14:textId="77777777" w:rsidR="0062640D" w:rsidRDefault="00C12A80">
            <w:r>
              <w:t>Administration</w:t>
            </w:r>
          </w:p>
        </w:tc>
        <w:tc>
          <w:tcPr>
            <w:tcW w:w="113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7DF1C527" w14:textId="0B1A339A" w:rsidR="0062640D" w:rsidRDefault="00C12A80">
            <w:pPr>
              <w:pStyle w:val="AccountsBold"/>
            </w:pPr>
            <w:r>
              <w:t>9</w:t>
            </w:r>
            <w:r w:rsidR="00272B1F">
              <w:t>9</w:t>
            </w:r>
            <w:r>
              <w:t>1</w:t>
            </w:r>
          </w:p>
        </w:tc>
        <w:tc>
          <w:tcPr>
            <w:tcW w:w="113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3F255A63" w14:textId="77777777" w:rsidR="0062640D" w:rsidRDefault="00C12A80">
            <w:pPr>
              <w:pStyle w:val="Accounts"/>
            </w:pPr>
            <w:r>
              <w:t>886</w:t>
            </w:r>
          </w:p>
        </w:tc>
      </w:tr>
      <w:tr w:rsidR="0062640D" w14:paraId="00AED80A" w14:textId="77777777">
        <w:tc>
          <w:tcPr>
            <w:tcW w:w="782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5AE09133" w14:textId="77777777" w:rsidR="0062640D" w:rsidRDefault="00C12A80">
            <w:r>
              <w:t>Other</w:t>
            </w:r>
          </w:p>
        </w:tc>
        <w:tc>
          <w:tcPr>
            <w:tcW w:w="113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742F43CA" w14:textId="073A4BBA" w:rsidR="0062640D" w:rsidRDefault="00272B1F">
            <w:pPr>
              <w:pStyle w:val="AccountsBold"/>
            </w:pPr>
            <w:r>
              <w:t>3,041</w:t>
            </w:r>
          </w:p>
        </w:tc>
        <w:tc>
          <w:tcPr>
            <w:tcW w:w="113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54489CA9" w14:textId="77777777" w:rsidR="0062640D" w:rsidRDefault="00C12A80">
            <w:pPr>
              <w:pStyle w:val="Accounts"/>
            </w:pPr>
            <w:r>
              <w:t>3,110</w:t>
            </w:r>
          </w:p>
        </w:tc>
      </w:tr>
      <w:tr w:rsidR="0062640D" w14:paraId="05A522FF" w14:textId="77777777">
        <w:tc>
          <w:tcPr>
            <w:tcW w:w="782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4EA2A68A" w14:textId="77777777" w:rsidR="0062640D" w:rsidRDefault="0062640D"/>
        </w:tc>
        <w:tc>
          <w:tcPr>
            <w:tcW w:w="113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50DBCABC" w14:textId="6277DB8F" w:rsidR="0062640D" w:rsidRDefault="00272B1F">
            <w:pPr>
              <w:pStyle w:val="AccountsBold"/>
            </w:pPr>
            <w:r>
              <w:t>4,032</w:t>
            </w:r>
          </w:p>
        </w:tc>
        <w:tc>
          <w:tcPr>
            <w:tcW w:w="113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1AFD61FF" w14:textId="77777777" w:rsidR="0062640D" w:rsidRDefault="00C12A80">
            <w:pPr>
              <w:pStyle w:val="Accounts"/>
            </w:pPr>
            <w:r>
              <w:t>3,996</w:t>
            </w:r>
          </w:p>
        </w:tc>
      </w:tr>
    </w:tbl>
    <w:p w14:paraId="2B3C3C52" w14:textId="77777777" w:rsidR="0062640D" w:rsidRDefault="0062640D"/>
    <w:p w14:paraId="40E2EBA8" w14:textId="2B2EF79C" w:rsidR="0062640D" w:rsidRDefault="007351BD">
      <w:r w:rsidRPr="007351BD">
        <w:t xml:space="preserve">The average number of persons (full-time equivalents) </w:t>
      </w:r>
      <w:r w:rsidR="00C12A80">
        <w:t>split by geographical region was as follows:</w:t>
      </w:r>
    </w:p>
    <w:p w14:paraId="5C776C03" w14:textId="77777777" w:rsidR="0062640D" w:rsidRDefault="0062640D"/>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7823"/>
        <w:gridCol w:w="1133"/>
        <w:gridCol w:w="1133"/>
      </w:tblGrid>
      <w:tr w:rsidR="0062640D" w14:paraId="5AB30EE2" w14:textId="77777777">
        <w:tc>
          <w:tcPr>
            <w:tcW w:w="7823" w:type="dxa"/>
            <w:tcBorders>
              <w:top w:val="nil"/>
              <w:left w:val="nil"/>
              <w:bottom w:val="single" w:sz="6" w:space="0" w:color="FF777C"/>
              <w:right w:val="nil"/>
            </w:tcBorders>
            <w:tcMar>
              <w:top w:w="45" w:type="dxa"/>
              <w:left w:w="0" w:type="dxa"/>
              <w:bottom w:w="56" w:type="dxa"/>
              <w:right w:w="0" w:type="dxa"/>
            </w:tcMar>
            <w:vAlign w:val="bottom"/>
          </w:tcPr>
          <w:p w14:paraId="6C77A314" w14:textId="77777777" w:rsidR="0062640D" w:rsidRDefault="0062640D"/>
        </w:tc>
        <w:tc>
          <w:tcPr>
            <w:tcW w:w="1133" w:type="dxa"/>
            <w:tcBorders>
              <w:top w:val="nil"/>
              <w:left w:val="nil"/>
              <w:bottom w:val="single" w:sz="6" w:space="0" w:color="FF777C"/>
              <w:right w:val="nil"/>
            </w:tcBorders>
            <w:tcMar>
              <w:top w:w="45" w:type="dxa"/>
              <w:left w:w="0" w:type="dxa"/>
              <w:bottom w:w="56" w:type="dxa"/>
              <w:right w:w="0" w:type="dxa"/>
            </w:tcMar>
            <w:vAlign w:val="bottom"/>
          </w:tcPr>
          <w:p w14:paraId="44B81700" w14:textId="77777777" w:rsidR="0062640D" w:rsidRDefault="00C12A80">
            <w:pPr>
              <w:pStyle w:val="Table-Headings"/>
            </w:pPr>
            <w:r>
              <w:t>2024</w:t>
            </w:r>
          </w:p>
        </w:tc>
        <w:tc>
          <w:tcPr>
            <w:tcW w:w="1133" w:type="dxa"/>
            <w:tcBorders>
              <w:top w:val="nil"/>
              <w:left w:val="nil"/>
              <w:bottom w:val="single" w:sz="6" w:space="0" w:color="FF777C"/>
              <w:right w:val="nil"/>
            </w:tcBorders>
            <w:tcMar>
              <w:top w:w="56" w:type="dxa"/>
              <w:left w:w="0" w:type="dxa"/>
              <w:bottom w:w="56" w:type="dxa"/>
              <w:right w:w="0" w:type="dxa"/>
            </w:tcMar>
            <w:vAlign w:val="bottom"/>
          </w:tcPr>
          <w:p w14:paraId="655721A8" w14:textId="77777777" w:rsidR="0062640D" w:rsidRDefault="00C12A80">
            <w:pPr>
              <w:pStyle w:val="Table-Headings"/>
            </w:pPr>
            <w:r>
              <w:t>2023</w:t>
            </w:r>
          </w:p>
        </w:tc>
      </w:tr>
      <w:tr w:rsidR="0062640D" w14:paraId="54C4DBFF" w14:textId="77777777">
        <w:tc>
          <w:tcPr>
            <w:tcW w:w="782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224EE0AD" w14:textId="77777777" w:rsidR="0062640D" w:rsidRDefault="00C12A80">
            <w:r>
              <w:t>Dublin (including the Group’s central functions)</w:t>
            </w:r>
          </w:p>
        </w:tc>
        <w:tc>
          <w:tcPr>
            <w:tcW w:w="113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470E07E4" w14:textId="77777777" w:rsidR="0062640D" w:rsidRDefault="00C12A80">
            <w:pPr>
              <w:pStyle w:val="AccountsBold"/>
            </w:pPr>
            <w:r>
              <w:t>1,791</w:t>
            </w:r>
          </w:p>
        </w:tc>
        <w:tc>
          <w:tcPr>
            <w:tcW w:w="113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005194C4" w14:textId="77777777" w:rsidR="0062640D" w:rsidRDefault="00C12A80">
            <w:pPr>
              <w:pStyle w:val="Accounts"/>
            </w:pPr>
            <w:r>
              <w:t>1,854</w:t>
            </w:r>
          </w:p>
        </w:tc>
      </w:tr>
      <w:tr w:rsidR="0062640D" w14:paraId="0F92BAF6" w14:textId="77777777">
        <w:tc>
          <w:tcPr>
            <w:tcW w:w="7823"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1F38B9B4" w14:textId="77777777" w:rsidR="0062640D" w:rsidRDefault="00C12A80">
            <w:r>
              <w:t>Regional Ireland</w:t>
            </w:r>
          </w:p>
        </w:tc>
        <w:tc>
          <w:tcPr>
            <w:tcW w:w="1133"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5E38FE1D" w14:textId="3A6BA920" w:rsidR="0062640D" w:rsidRDefault="00851E81">
            <w:pPr>
              <w:pStyle w:val="AccountsBold"/>
            </w:pPr>
            <w:r>
              <w:t>939</w:t>
            </w:r>
          </w:p>
        </w:tc>
        <w:tc>
          <w:tcPr>
            <w:tcW w:w="1133"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4B798290" w14:textId="77777777" w:rsidR="0062640D" w:rsidRDefault="00C12A80">
            <w:pPr>
              <w:pStyle w:val="Accounts"/>
            </w:pPr>
            <w:r>
              <w:t>978</w:t>
            </w:r>
          </w:p>
        </w:tc>
      </w:tr>
      <w:tr w:rsidR="0062640D" w14:paraId="18CA7129" w14:textId="77777777">
        <w:tc>
          <w:tcPr>
            <w:tcW w:w="7823" w:type="dxa"/>
            <w:tcBorders>
              <w:top w:val="nil"/>
              <w:left w:val="nil"/>
              <w:bottom w:val="nil"/>
              <w:right w:val="nil"/>
            </w:tcBorders>
            <w:tcMar>
              <w:top w:w="56" w:type="dxa"/>
              <w:left w:w="0" w:type="dxa"/>
              <w:bottom w:w="85" w:type="dxa"/>
              <w:right w:w="0" w:type="dxa"/>
            </w:tcMar>
            <w:vAlign w:val="bottom"/>
          </w:tcPr>
          <w:p w14:paraId="0B1B3162" w14:textId="77777777" w:rsidR="0062640D" w:rsidRDefault="00C12A80">
            <w:r>
              <w:t>UK</w:t>
            </w:r>
          </w:p>
        </w:tc>
        <w:tc>
          <w:tcPr>
            <w:tcW w:w="1133" w:type="dxa"/>
            <w:tcBorders>
              <w:top w:val="nil"/>
              <w:left w:val="nil"/>
              <w:bottom w:val="nil"/>
              <w:right w:val="nil"/>
            </w:tcBorders>
            <w:tcMar>
              <w:top w:w="56" w:type="dxa"/>
              <w:left w:w="0" w:type="dxa"/>
              <w:bottom w:w="85" w:type="dxa"/>
              <w:right w:w="0" w:type="dxa"/>
            </w:tcMar>
            <w:vAlign w:val="bottom"/>
          </w:tcPr>
          <w:p w14:paraId="2D42310E" w14:textId="77777777" w:rsidR="0062640D" w:rsidRDefault="00C12A80">
            <w:pPr>
              <w:pStyle w:val="AccountsBold"/>
            </w:pPr>
            <w:r>
              <w:t>1,096</w:t>
            </w:r>
          </w:p>
        </w:tc>
        <w:tc>
          <w:tcPr>
            <w:tcW w:w="1133" w:type="dxa"/>
            <w:tcBorders>
              <w:top w:val="nil"/>
              <w:left w:val="nil"/>
              <w:bottom w:val="nil"/>
              <w:right w:val="nil"/>
            </w:tcBorders>
            <w:tcMar>
              <w:top w:w="56" w:type="dxa"/>
              <w:left w:w="0" w:type="dxa"/>
              <w:bottom w:w="85" w:type="dxa"/>
              <w:right w:w="0" w:type="dxa"/>
            </w:tcMar>
            <w:vAlign w:val="bottom"/>
          </w:tcPr>
          <w:p w14:paraId="5F609F41" w14:textId="77777777" w:rsidR="0062640D" w:rsidRDefault="00C12A80">
            <w:pPr>
              <w:pStyle w:val="Accounts"/>
            </w:pPr>
            <w:r>
              <w:t>1,013</w:t>
            </w:r>
          </w:p>
        </w:tc>
      </w:tr>
      <w:tr w:rsidR="0062640D" w14:paraId="08CBBC49" w14:textId="77777777">
        <w:tc>
          <w:tcPr>
            <w:tcW w:w="7823" w:type="dxa"/>
            <w:tcBorders>
              <w:top w:val="nil"/>
              <w:left w:val="nil"/>
              <w:bottom w:val="single" w:sz="4" w:space="0" w:color="FF777C"/>
              <w:right w:val="nil"/>
            </w:tcBorders>
            <w:tcMar>
              <w:top w:w="56" w:type="dxa"/>
              <w:left w:w="0" w:type="dxa"/>
              <w:bottom w:w="85" w:type="dxa"/>
              <w:right w:w="0" w:type="dxa"/>
            </w:tcMar>
            <w:vAlign w:val="bottom"/>
          </w:tcPr>
          <w:p w14:paraId="2963DEA1" w14:textId="77777777" w:rsidR="0062640D" w:rsidRDefault="00C12A80">
            <w:r>
              <w:t>Continental Europe</w:t>
            </w:r>
          </w:p>
        </w:tc>
        <w:tc>
          <w:tcPr>
            <w:tcW w:w="1133" w:type="dxa"/>
            <w:tcBorders>
              <w:top w:val="nil"/>
              <w:left w:val="nil"/>
              <w:bottom w:val="single" w:sz="4" w:space="0" w:color="FF777C"/>
              <w:right w:val="nil"/>
            </w:tcBorders>
            <w:tcMar>
              <w:top w:w="56" w:type="dxa"/>
              <w:left w:w="0" w:type="dxa"/>
              <w:bottom w:w="85" w:type="dxa"/>
              <w:right w:w="0" w:type="dxa"/>
            </w:tcMar>
            <w:vAlign w:val="bottom"/>
          </w:tcPr>
          <w:p w14:paraId="77608AD2" w14:textId="77777777" w:rsidR="0062640D" w:rsidRDefault="00C12A80">
            <w:pPr>
              <w:pStyle w:val="AccountsBold"/>
            </w:pPr>
            <w:r>
              <w:t>206</w:t>
            </w:r>
          </w:p>
        </w:tc>
        <w:tc>
          <w:tcPr>
            <w:tcW w:w="1133" w:type="dxa"/>
            <w:tcBorders>
              <w:top w:val="nil"/>
              <w:left w:val="nil"/>
              <w:bottom w:val="single" w:sz="4" w:space="0" w:color="FF777C"/>
              <w:right w:val="nil"/>
            </w:tcBorders>
            <w:tcMar>
              <w:top w:w="56" w:type="dxa"/>
              <w:left w:w="0" w:type="dxa"/>
              <w:bottom w:w="85" w:type="dxa"/>
              <w:right w:w="0" w:type="dxa"/>
            </w:tcMar>
            <w:vAlign w:val="bottom"/>
          </w:tcPr>
          <w:p w14:paraId="4DBA8D4E" w14:textId="77777777" w:rsidR="0062640D" w:rsidRDefault="00C12A80">
            <w:pPr>
              <w:pStyle w:val="Accounts"/>
            </w:pPr>
            <w:r>
              <w:t>151</w:t>
            </w:r>
          </w:p>
        </w:tc>
      </w:tr>
      <w:tr w:rsidR="0062640D" w14:paraId="1C885B7E" w14:textId="77777777">
        <w:tc>
          <w:tcPr>
            <w:tcW w:w="7823" w:type="dxa"/>
            <w:tcBorders>
              <w:top w:val="single" w:sz="4" w:space="0" w:color="FF777C"/>
              <w:left w:val="nil"/>
              <w:bottom w:val="single" w:sz="6" w:space="0" w:color="FF777C"/>
              <w:right w:val="nil"/>
            </w:tcBorders>
            <w:tcMar>
              <w:top w:w="56" w:type="dxa"/>
              <w:left w:w="0" w:type="dxa"/>
              <w:bottom w:w="85" w:type="dxa"/>
              <w:right w:w="0" w:type="dxa"/>
            </w:tcMar>
            <w:vAlign w:val="bottom"/>
          </w:tcPr>
          <w:p w14:paraId="0B02F2EC" w14:textId="77777777" w:rsidR="0062640D" w:rsidRDefault="0062640D"/>
        </w:tc>
        <w:tc>
          <w:tcPr>
            <w:tcW w:w="1133" w:type="dxa"/>
            <w:tcBorders>
              <w:top w:val="single" w:sz="4" w:space="0" w:color="FF777C"/>
              <w:left w:val="nil"/>
              <w:bottom w:val="single" w:sz="6" w:space="0" w:color="FF777C"/>
              <w:right w:val="nil"/>
            </w:tcBorders>
            <w:tcMar>
              <w:top w:w="56" w:type="dxa"/>
              <w:left w:w="0" w:type="dxa"/>
              <w:bottom w:w="85" w:type="dxa"/>
              <w:right w:w="0" w:type="dxa"/>
            </w:tcMar>
            <w:vAlign w:val="bottom"/>
          </w:tcPr>
          <w:p w14:paraId="0B2DF645" w14:textId="4F440B96" w:rsidR="0062640D" w:rsidRDefault="00851E81">
            <w:pPr>
              <w:pStyle w:val="AccountsBold"/>
            </w:pPr>
            <w:r>
              <w:t>4,032</w:t>
            </w:r>
          </w:p>
        </w:tc>
        <w:tc>
          <w:tcPr>
            <w:tcW w:w="1133" w:type="dxa"/>
            <w:tcBorders>
              <w:top w:val="single" w:sz="4" w:space="0" w:color="FF777C"/>
              <w:left w:val="nil"/>
              <w:bottom w:val="single" w:sz="6" w:space="0" w:color="FF777C"/>
              <w:right w:val="nil"/>
            </w:tcBorders>
            <w:tcMar>
              <w:top w:w="56" w:type="dxa"/>
              <w:left w:w="0" w:type="dxa"/>
              <w:bottom w:w="85" w:type="dxa"/>
              <w:right w:w="0" w:type="dxa"/>
            </w:tcMar>
            <w:vAlign w:val="bottom"/>
          </w:tcPr>
          <w:p w14:paraId="7D4D60D2" w14:textId="77777777" w:rsidR="0062640D" w:rsidRDefault="00C12A80">
            <w:pPr>
              <w:pStyle w:val="Accounts"/>
            </w:pPr>
            <w:r>
              <w:t>3,996</w:t>
            </w:r>
          </w:p>
        </w:tc>
      </w:tr>
    </w:tbl>
    <w:p w14:paraId="362AA659" w14:textId="77777777" w:rsidR="0062640D" w:rsidRDefault="0062640D"/>
    <w:p w14:paraId="1D3C794E" w14:textId="77777777" w:rsidR="0062640D" w:rsidRDefault="00C12A80">
      <w:r>
        <w:t>The aggregate payroll costs of these persons were as follows:</w:t>
      </w:r>
    </w:p>
    <w:p w14:paraId="34065810" w14:textId="77777777" w:rsidR="0062640D" w:rsidRDefault="0062640D"/>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7823"/>
        <w:gridCol w:w="1125"/>
        <w:gridCol w:w="1141"/>
      </w:tblGrid>
      <w:tr w:rsidR="0062640D" w14:paraId="66F8F6B0" w14:textId="77777777">
        <w:tc>
          <w:tcPr>
            <w:tcW w:w="7823" w:type="dxa"/>
            <w:tcBorders>
              <w:top w:val="nil"/>
              <w:left w:val="nil"/>
              <w:bottom w:val="nil"/>
              <w:right w:val="nil"/>
            </w:tcBorders>
            <w:tcMar>
              <w:top w:w="45" w:type="dxa"/>
              <w:left w:w="0" w:type="dxa"/>
              <w:bottom w:w="0" w:type="dxa"/>
              <w:right w:w="0" w:type="dxa"/>
            </w:tcMar>
            <w:vAlign w:val="bottom"/>
          </w:tcPr>
          <w:p w14:paraId="726D3686" w14:textId="77777777" w:rsidR="0062640D" w:rsidRDefault="0062640D"/>
        </w:tc>
        <w:tc>
          <w:tcPr>
            <w:tcW w:w="1125" w:type="dxa"/>
            <w:tcBorders>
              <w:top w:val="nil"/>
              <w:left w:val="nil"/>
              <w:bottom w:val="nil"/>
              <w:right w:val="nil"/>
            </w:tcBorders>
            <w:tcMar>
              <w:top w:w="45" w:type="dxa"/>
              <w:left w:w="0" w:type="dxa"/>
              <w:bottom w:w="0" w:type="dxa"/>
              <w:right w:w="0" w:type="dxa"/>
            </w:tcMar>
            <w:vAlign w:val="bottom"/>
          </w:tcPr>
          <w:p w14:paraId="62D1B547" w14:textId="77777777" w:rsidR="0062640D" w:rsidRDefault="00C12A80">
            <w:pPr>
              <w:pStyle w:val="Table-Headings"/>
            </w:pPr>
            <w:r>
              <w:t>2024</w:t>
            </w:r>
          </w:p>
        </w:tc>
        <w:tc>
          <w:tcPr>
            <w:tcW w:w="1141" w:type="dxa"/>
            <w:tcBorders>
              <w:top w:val="nil"/>
              <w:left w:val="nil"/>
              <w:bottom w:val="nil"/>
              <w:right w:val="nil"/>
            </w:tcBorders>
            <w:tcMar>
              <w:top w:w="56" w:type="dxa"/>
              <w:left w:w="0" w:type="dxa"/>
              <w:bottom w:w="0" w:type="dxa"/>
              <w:right w:w="0" w:type="dxa"/>
            </w:tcMar>
            <w:vAlign w:val="bottom"/>
          </w:tcPr>
          <w:p w14:paraId="222455B6" w14:textId="77777777" w:rsidR="0062640D" w:rsidRDefault="00C12A80">
            <w:pPr>
              <w:pStyle w:val="Table-Headings"/>
            </w:pPr>
            <w:r>
              <w:t>2023</w:t>
            </w:r>
          </w:p>
        </w:tc>
      </w:tr>
      <w:tr w:rsidR="0062640D" w14:paraId="660D682A" w14:textId="77777777">
        <w:tc>
          <w:tcPr>
            <w:tcW w:w="7823" w:type="dxa"/>
            <w:tcBorders>
              <w:top w:val="nil"/>
              <w:left w:val="nil"/>
              <w:bottom w:val="single" w:sz="6" w:space="0" w:color="FF777C"/>
              <w:right w:val="nil"/>
            </w:tcBorders>
            <w:tcMar>
              <w:top w:w="45" w:type="dxa"/>
              <w:left w:w="0" w:type="dxa"/>
              <w:bottom w:w="56" w:type="dxa"/>
              <w:right w:w="0" w:type="dxa"/>
            </w:tcMar>
            <w:vAlign w:val="bottom"/>
          </w:tcPr>
          <w:p w14:paraId="781CBA64" w14:textId="77777777" w:rsidR="0062640D" w:rsidRDefault="0062640D"/>
        </w:tc>
        <w:tc>
          <w:tcPr>
            <w:tcW w:w="1125" w:type="dxa"/>
            <w:tcBorders>
              <w:top w:val="nil"/>
              <w:left w:val="nil"/>
              <w:bottom w:val="single" w:sz="6" w:space="0" w:color="FF777C"/>
              <w:right w:val="nil"/>
            </w:tcBorders>
            <w:tcMar>
              <w:top w:w="45" w:type="dxa"/>
              <w:left w:w="0" w:type="dxa"/>
              <w:bottom w:w="56" w:type="dxa"/>
              <w:right w:w="0" w:type="dxa"/>
            </w:tcMar>
            <w:vAlign w:val="bottom"/>
          </w:tcPr>
          <w:p w14:paraId="01278338" w14:textId="77777777" w:rsidR="0062640D" w:rsidRDefault="00C12A80">
            <w:pPr>
              <w:pStyle w:val="Table-Headings"/>
            </w:pPr>
            <w:r>
              <w:t>€’000</w:t>
            </w:r>
          </w:p>
        </w:tc>
        <w:tc>
          <w:tcPr>
            <w:tcW w:w="1141" w:type="dxa"/>
            <w:tcBorders>
              <w:top w:val="nil"/>
              <w:left w:val="nil"/>
              <w:bottom w:val="single" w:sz="6" w:space="0" w:color="FF777C"/>
              <w:right w:val="nil"/>
            </w:tcBorders>
            <w:tcMar>
              <w:top w:w="56" w:type="dxa"/>
              <w:left w:w="0" w:type="dxa"/>
              <w:bottom w:w="85" w:type="dxa"/>
              <w:right w:w="0" w:type="dxa"/>
            </w:tcMar>
            <w:vAlign w:val="bottom"/>
          </w:tcPr>
          <w:p w14:paraId="63E1BC9B" w14:textId="77777777" w:rsidR="0062640D" w:rsidRDefault="00C12A80">
            <w:pPr>
              <w:pStyle w:val="Table-Headings"/>
            </w:pPr>
            <w:r>
              <w:t>€’000</w:t>
            </w:r>
          </w:p>
        </w:tc>
      </w:tr>
      <w:tr w:rsidR="0062640D" w14:paraId="38850B3A" w14:textId="77777777">
        <w:tc>
          <w:tcPr>
            <w:tcW w:w="7823" w:type="dxa"/>
            <w:tcBorders>
              <w:top w:val="single" w:sz="6" w:space="0" w:color="FF777C"/>
              <w:left w:val="nil"/>
              <w:bottom w:val="nil"/>
              <w:right w:val="nil"/>
            </w:tcBorders>
            <w:tcMar>
              <w:top w:w="56" w:type="dxa"/>
              <w:left w:w="0" w:type="dxa"/>
              <w:bottom w:w="85" w:type="dxa"/>
              <w:right w:w="0" w:type="dxa"/>
            </w:tcMar>
            <w:vAlign w:val="bottom"/>
          </w:tcPr>
          <w:p w14:paraId="2B62011B" w14:textId="77777777" w:rsidR="0062640D" w:rsidRDefault="00C12A80">
            <w:r>
              <w:t>Wages and salaries</w:t>
            </w:r>
          </w:p>
        </w:tc>
        <w:tc>
          <w:tcPr>
            <w:tcW w:w="1125" w:type="dxa"/>
            <w:tcBorders>
              <w:top w:val="single" w:sz="6" w:space="0" w:color="FF777C"/>
              <w:left w:val="nil"/>
              <w:bottom w:val="nil"/>
              <w:right w:val="nil"/>
            </w:tcBorders>
            <w:tcMar>
              <w:top w:w="56" w:type="dxa"/>
              <w:left w:w="0" w:type="dxa"/>
              <w:bottom w:w="85" w:type="dxa"/>
              <w:right w:w="0" w:type="dxa"/>
            </w:tcMar>
            <w:vAlign w:val="bottom"/>
          </w:tcPr>
          <w:p w14:paraId="69D12739" w14:textId="65E3D3AA" w:rsidR="0062640D" w:rsidRDefault="00C12A80">
            <w:pPr>
              <w:pStyle w:val="AccountsBold"/>
            </w:pPr>
            <w:r>
              <w:t>15</w:t>
            </w:r>
            <w:r w:rsidR="00B80861">
              <w:t>9</w:t>
            </w:r>
            <w:r>
              <w:t>,</w:t>
            </w:r>
            <w:r w:rsidR="00B80861">
              <w:t>680</w:t>
            </w:r>
          </w:p>
        </w:tc>
        <w:tc>
          <w:tcPr>
            <w:tcW w:w="1141" w:type="dxa"/>
            <w:tcBorders>
              <w:top w:val="single" w:sz="6" w:space="0" w:color="FF777C"/>
              <w:left w:val="nil"/>
              <w:bottom w:val="nil"/>
              <w:right w:val="nil"/>
            </w:tcBorders>
            <w:tcMar>
              <w:top w:w="56" w:type="dxa"/>
              <w:left w:w="0" w:type="dxa"/>
              <w:bottom w:w="85" w:type="dxa"/>
              <w:right w:w="0" w:type="dxa"/>
            </w:tcMar>
            <w:vAlign w:val="bottom"/>
          </w:tcPr>
          <w:p w14:paraId="17DA9B50" w14:textId="77777777" w:rsidR="0062640D" w:rsidRDefault="00C12A80">
            <w:pPr>
              <w:pStyle w:val="Accounts"/>
            </w:pPr>
            <w:r>
              <w:t>140,674</w:t>
            </w:r>
          </w:p>
        </w:tc>
      </w:tr>
      <w:tr w:rsidR="0062640D" w14:paraId="77FCB1EC" w14:textId="77777777">
        <w:tc>
          <w:tcPr>
            <w:tcW w:w="7823" w:type="dxa"/>
            <w:tcBorders>
              <w:top w:val="nil"/>
              <w:left w:val="none" w:sz="8" w:space="0" w:color="auto"/>
              <w:bottom w:val="none" w:sz="8" w:space="0" w:color="auto"/>
              <w:right w:val="none" w:sz="8" w:space="0" w:color="auto"/>
            </w:tcBorders>
            <w:tcMar>
              <w:top w:w="56" w:type="dxa"/>
              <w:left w:w="0" w:type="dxa"/>
              <w:bottom w:w="85" w:type="dxa"/>
              <w:right w:w="0" w:type="dxa"/>
            </w:tcMar>
            <w:vAlign w:val="bottom"/>
          </w:tcPr>
          <w:p w14:paraId="630C8EA1" w14:textId="77777777" w:rsidR="0062640D" w:rsidRDefault="00C12A80">
            <w:r>
              <w:t>Social welfare costs</w:t>
            </w:r>
          </w:p>
        </w:tc>
        <w:tc>
          <w:tcPr>
            <w:tcW w:w="1125" w:type="dxa"/>
            <w:tcBorders>
              <w:top w:val="nil"/>
              <w:left w:val="none" w:sz="8" w:space="0" w:color="auto"/>
              <w:bottom w:val="none" w:sz="8" w:space="0" w:color="auto"/>
              <w:right w:val="none" w:sz="8" w:space="0" w:color="auto"/>
            </w:tcBorders>
            <w:tcMar>
              <w:top w:w="56" w:type="dxa"/>
              <w:left w:w="0" w:type="dxa"/>
              <w:bottom w:w="85" w:type="dxa"/>
              <w:right w:w="0" w:type="dxa"/>
            </w:tcMar>
            <w:vAlign w:val="bottom"/>
          </w:tcPr>
          <w:p w14:paraId="73C8992A" w14:textId="703C1AF7" w:rsidR="0062640D" w:rsidRDefault="00C12A80">
            <w:pPr>
              <w:pStyle w:val="AccountsBold"/>
            </w:pPr>
            <w:r>
              <w:t>15,</w:t>
            </w:r>
            <w:r w:rsidR="009013FB">
              <w:t>274</w:t>
            </w:r>
          </w:p>
        </w:tc>
        <w:tc>
          <w:tcPr>
            <w:tcW w:w="1141" w:type="dxa"/>
            <w:tcBorders>
              <w:top w:val="nil"/>
              <w:left w:val="none" w:sz="8" w:space="0" w:color="auto"/>
              <w:bottom w:val="none" w:sz="8" w:space="0" w:color="auto"/>
              <w:right w:val="none" w:sz="8" w:space="0" w:color="auto"/>
            </w:tcBorders>
            <w:tcMar>
              <w:top w:w="56" w:type="dxa"/>
              <w:left w:w="0" w:type="dxa"/>
              <w:bottom w:w="85" w:type="dxa"/>
              <w:right w:w="0" w:type="dxa"/>
            </w:tcMar>
            <w:vAlign w:val="bottom"/>
          </w:tcPr>
          <w:p w14:paraId="71A8E8ED" w14:textId="77777777" w:rsidR="0062640D" w:rsidRDefault="00C12A80">
            <w:pPr>
              <w:pStyle w:val="Accounts"/>
            </w:pPr>
            <w:r>
              <w:t>14,187</w:t>
            </w:r>
          </w:p>
        </w:tc>
      </w:tr>
      <w:tr w:rsidR="0062640D" w14:paraId="0874ACC6"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3442A53E" w14:textId="77777777" w:rsidR="0062640D" w:rsidRDefault="00C12A80">
            <w:r>
              <w:t>Pension costs – defined contribution</w:t>
            </w:r>
          </w:p>
        </w:tc>
        <w:tc>
          <w:tcPr>
            <w:tcW w:w="1125"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7BCA14C2" w14:textId="4CE364D9" w:rsidR="0062640D" w:rsidRDefault="00C12A80">
            <w:pPr>
              <w:pStyle w:val="AccountsBold"/>
            </w:pPr>
            <w:r>
              <w:t>3,</w:t>
            </w:r>
            <w:r w:rsidR="009013FB">
              <w:t>310</w:t>
            </w:r>
          </w:p>
        </w:tc>
        <w:tc>
          <w:tcPr>
            <w:tcW w:w="1141"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28B637F" w14:textId="77777777" w:rsidR="0062640D" w:rsidRDefault="00C12A80">
            <w:pPr>
              <w:pStyle w:val="Accounts"/>
            </w:pPr>
            <w:r>
              <w:t>1,702</w:t>
            </w:r>
          </w:p>
        </w:tc>
      </w:tr>
      <w:tr w:rsidR="0062640D" w14:paraId="50988CF6"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7F14CCCA" w14:textId="77777777" w:rsidR="0062640D" w:rsidRDefault="00C12A80">
            <w:r>
              <w:t>Share-based payments expense</w:t>
            </w:r>
          </w:p>
        </w:tc>
        <w:tc>
          <w:tcPr>
            <w:tcW w:w="1125"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5C016FAC" w14:textId="77777777" w:rsidR="0062640D" w:rsidRDefault="00C12A80">
            <w:pPr>
              <w:pStyle w:val="AccountsBold"/>
            </w:pPr>
            <w:r>
              <w:t>3,615</w:t>
            </w:r>
          </w:p>
        </w:tc>
        <w:tc>
          <w:tcPr>
            <w:tcW w:w="1141"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3E25F0ED" w14:textId="77777777" w:rsidR="0062640D" w:rsidRDefault="00C12A80">
            <w:pPr>
              <w:pStyle w:val="Accounts"/>
            </w:pPr>
            <w:r>
              <w:t>5,910</w:t>
            </w:r>
          </w:p>
        </w:tc>
      </w:tr>
      <w:tr w:rsidR="0062640D" w14:paraId="2DD0CFD7" w14:textId="77777777">
        <w:tc>
          <w:tcPr>
            <w:tcW w:w="782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0764A38B" w14:textId="77777777" w:rsidR="0062640D" w:rsidRDefault="00C12A80">
            <w:r>
              <w:t>Severance costs</w:t>
            </w:r>
          </w:p>
        </w:tc>
        <w:tc>
          <w:tcPr>
            <w:tcW w:w="1125"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3AE2CDBC" w14:textId="43DDDC69" w:rsidR="0062640D" w:rsidRDefault="005E72B0">
            <w:pPr>
              <w:pStyle w:val="AccountsBold"/>
            </w:pPr>
            <w:r>
              <w:t>75</w:t>
            </w:r>
          </w:p>
        </w:tc>
        <w:tc>
          <w:tcPr>
            <w:tcW w:w="1141"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29FB6EA7" w14:textId="77777777" w:rsidR="0062640D" w:rsidRDefault="00C12A80">
            <w:pPr>
              <w:pStyle w:val="Accounts"/>
            </w:pPr>
            <w:r>
              <w:t>-</w:t>
            </w:r>
          </w:p>
        </w:tc>
      </w:tr>
      <w:tr w:rsidR="0062640D" w14:paraId="0176DCFF" w14:textId="77777777">
        <w:tc>
          <w:tcPr>
            <w:tcW w:w="782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3EC23669" w14:textId="77777777" w:rsidR="0062640D" w:rsidRDefault="0062640D"/>
        </w:tc>
        <w:tc>
          <w:tcPr>
            <w:tcW w:w="1125"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3BAE22AD" w14:textId="63B79F1B" w:rsidR="0062640D" w:rsidRDefault="00B844D1">
            <w:pPr>
              <w:pStyle w:val="AccountsBold"/>
            </w:pPr>
            <w:r>
              <w:t>181,954</w:t>
            </w:r>
          </w:p>
        </w:tc>
        <w:tc>
          <w:tcPr>
            <w:tcW w:w="1141"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22751A18" w14:textId="77777777" w:rsidR="0062640D" w:rsidRDefault="00C12A80">
            <w:pPr>
              <w:pStyle w:val="Accounts"/>
            </w:pPr>
            <w:r>
              <w:t>162,473</w:t>
            </w:r>
          </w:p>
        </w:tc>
      </w:tr>
    </w:tbl>
    <w:p w14:paraId="4808C0AF" w14:textId="77777777" w:rsidR="0062640D" w:rsidRDefault="0062640D"/>
    <w:p w14:paraId="12D4CD33" w14:textId="77777777" w:rsidR="0062640D" w:rsidRDefault="00C12A80">
      <w:r>
        <w:t>Payroll costs of €0.4 million (2023: €0.5 million) relating to the Group’s internal development employees were capitalised as these costs are directly related to development, lease and other construction work completed during the year ended 31 December 2024.</w:t>
      </w:r>
    </w:p>
    <w:p w14:paraId="08D0D162" w14:textId="77777777" w:rsidR="0062640D" w:rsidRDefault="0062640D"/>
    <w:p w14:paraId="4DFD4463" w14:textId="77777777" w:rsidR="0062640D" w:rsidRDefault="00C12A80">
      <w:pPr>
        <w:pStyle w:val="Heading-1"/>
      </w:pPr>
      <w:r>
        <w:t>8 Share-based payments expense</w:t>
      </w:r>
    </w:p>
    <w:p w14:paraId="0835751E" w14:textId="77777777" w:rsidR="0062640D" w:rsidRDefault="0062640D"/>
    <w:p w14:paraId="05DAA9A3" w14:textId="77777777" w:rsidR="0062640D" w:rsidRDefault="00C12A80">
      <w:r>
        <w:t xml:space="preserve">The total share-based payments expense for the Group’s employee share schemes charged to profit or loss during the year was €3.6 million (2023: €5.9 million), analysed as follows: </w:t>
      </w:r>
    </w:p>
    <w:p w14:paraId="30AA8C5C" w14:textId="77777777" w:rsidR="0062640D" w:rsidRDefault="0062640D"/>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7823"/>
        <w:gridCol w:w="1133"/>
        <w:gridCol w:w="1133"/>
      </w:tblGrid>
      <w:tr w:rsidR="0062640D" w14:paraId="6BE08B1D" w14:textId="77777777">
        <w:tc>
          <w:tcPr>
            <w:tcW w:w="7823" w:type="dxa"/>
            <w:tcBorders>
              <w:top w:val="nil"/>
              <w:left w:val="nil"/>
              <w:bottom w:val="nil"/>
              <w:right w:val="nil"/>
            </w:tcBorders>
            <w:tcMar>
              <w:top w:w="45" w:type="dxa"/>
              <w:left w:w="0" w:type="dxa"/>
              <w:bottom w:w="0" w:type="dxa"/>
              <w:right w:w="0" w:type="dxa"/>
            </w:tcMar>
            <w:vAlign w:val="bottom"/>
          </w:tcPr>
          <w:p w14:paraId="19D77D77" w14:textId="77777777" w:rsidR="0062640D" w:rsidRDefault="0062640D"/>
        </w:tc>
        <w:tc>
          <w:tcPr>
            <w:tcW w:w="1133" w:type="dxa"/>
            <w:tcBorders>
              <w:top w:val="nil"/>
              <w:left w:val="nil"/>
              <w:bottom w:val="nil"/>
              <w:right w:val="nil"/>
            </w:tcBorders>
            <w:tcMar>
              <w:top w:w="45" w:type="dxa"/>
              <w:left w:w="0" w:type="dxa"/>
              <w:bottom w:w="0" w:type="dxa"/>
              <w:right w:w="0" w:type="dxa"/>
            </w:tcMar>
            <w:vAlign w:val="bottom"/>
          </w:tcPr>
          <w:p w14:paraId="7AF5021D" w14:textId="77777777" w:rsidR="0062640D" w:rsidRDefault="00C12A80">
            <w:pPr>
              <w:pStyle w:val="Table-Headings"/>
            </w:pPr>
            <w:r>
              <w:t>2024</w:t>
            </w:r>
          </w:p>
        </w:tc>
        <w:tc>
          <w:tcPr>
            <w:tcW w:w="1133" w:type="dxa"/>
            <w:tcBorders>
              <w:top w:val="nil"/>
              <w:left w:val="nil"/>
              <w:bottom w:val="nil"/>
              <w:right w:val="nil"/>
            </w:tcBorders>
            <w:tcMar>
              <w:top w:w="56" w:type="dxa"/>
              <w:left w:w="0" w:type="dxa"/>
              <w:bottom w:w="0" w:type="dxa"/>
              <w:right w:w="0" w:type="dxa"/>
            </w:tcMar>
            <w:vAlign w:val="bottom"/>
          </w:tcPr>
          <w:p w14:paraId="245F021B" w14:textId="77777777" w:rsidR="0062640D" w:rsidRDefault="00C12A80">
            <w:pPr>
              <w:pStyle w:val="Table-Headings"/>
            </w:pPr>
            <w:r>
              <w:t>2023</w:t>
            </w:r>
          </w:p>
        </w:tc>
      </w:tr>
      <w:tr w:rsidR="0062640D" w14:paraId="528BEC1E" w14:textId="77777777">
        <w:tc>
          <w:tcPr>
            <w:tcW w:w="7823" w:type="dxa"/>
            <w:tcBorders>
              <w:top w:val="nil"/>
              <w:left w:val="nil"/>
              <w:bottom w:val="single" w:sz="6" w:space="0" w:color="FF777C"/>
              <w:right w:val="nil"/>
            </w:tcBorders>
            <w:tcMar>
              <w:top w:w="45" w:type="dxa"/>
              <w:left w:w="0" w:type="dxa"/>
              <w:bottom w:w="56" w:type="dxa"/>
              <w:right w:w="0" w:type="dxa"/>
            </w:tcMar>
            <w:vAlign w:val="bottom"/>
          </w:tcPr>
          <w:p w14:paraId="2045D86A" w14:textId="77777777" w:rsidR="0062640D" w:rsidRDefault="0062640D"/>
        </w:tc>
        <w:tc>
          <w:tcPr>
            <w:tcW w:w="1133" w:type="dxa"/>
            <w:tcBorders>
              <w:top w:val="nil"/>
              <w:left w:val="nil"/>
              <w:bottom w:val="single" w:sz="6" w:space="0" w:color="FF777C"/>
              <w:right w:val="nil"/>
            </w:tcBorders>
            <w:tcMar>
              <w:top w:w="45" w:type="dxa"/>
              <w:left w:w="0" w:type="dxa"/>
              <w:bottom w:w="56" w:type="dxa"/>
              <w:right w:w="0" w:type="dxa"/>
            </w:tcMar>
            <w:vAlign w:val="bottom"/>
          </w:tcPr>
          <w:p w14:paraId="328C1E2B" w14:textId="77777777" w:rsidR="0062640D" w:rsidRDefault="00C12A80">
            <w:pPr>
              <w:pStyle w:val="Table-Headings"/>
            </w:pPr>
            <w:r>
              <w:t>€’000</w:t>
            </w:r>
          </w:p>
        </w:tc>
        <w:tc>
          <w:tcPr>
            <w:tcW w:w="1133" w:type="dxa"/>
            <w:tcBorders>
              <w:top w:val="nil"/>
              <w:left w:val="nil"/>
              <w:bottom w:val="single" w:sz="6" w:space="0" w:color="FF777C"/>
              <w:right w:val="nil"/>
            </w:tcBorders>
            <w:tcMar>
              <w:top w:w="56" w:type="dxa"/>
              <w:left w:w="0" w:type="dxa"/>
              <w:bottom w:w="85" w:type="dxa"/>
              <w:right w:w="0" w:type="dxa"/>
            </w:tcMar>
            <w:vAlign w:val="bottom"/>
          </w:tcPr>
          <w:p w14:paraId="446E3249" w14:textId="77777777" w:rsidR="0062640D" w:rsidRDefault="00C12A80">
            <w:pPr>
              <w:pStyle w:val="Table-Headings"/>
            </w:pPr>
            <w:r>
              <w:t>€’000</w:t>
            </w:r>
          </w:p>
        </w:tc>
      </w:tr>
      <w:tr w:rsidR="0062640D" w14:paraId="544B4737" w14:textId="77777777">
        <w:tc>
          <w:tcPr>
            <w:tcW w:w="782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5CEE0D51" w14:textId="77777777" w:rsidR="0062640D" w:rsidRDefault="00C12A80">
            <w:r>
              <w:t>Long Term Incentive Plans</w:t>
            </w:r>
          </w:p>
        </w:tc>
        <w:tc>
          <w:tcPr>
            <w:tcW w:w="113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3381D523" w14:textId="77777777" w:rsidR="0062640D" w:rsidRDefault="00C12A80">
            <w:pPr>
              <w:pStyle w:val="AccountsBold"/>
            </w:pPr>
            <w:r>
              <w:t>3,419</w:t>
            </w:r>
          </w:p>
        </w:tc>
        <w:tc>
          <w:tcPr>
            <w:tcW w:w="113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16DA6B18" w14:textId="77777777" w:rsidR="0062640D" w:rsidRDefault="00C12A80">
            <w:pPr>
              <w:pStyle w:val="Accounts"/>
            </w:pPr>
            <w:r>
              <w:t>5,580</w:t>
            </w:r>
          </w:p>
        </w:tc>
      </w:tr>
      <w:tr w:rsidR="0062640D" w14:paraId="0E4E5487" w14:textId="77777777">
        <w:tc>
          <w:tcPr>
            <w:tcW w:w="782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66F7FE77" w14:textId="77777777" w:rsidR="0062640D" w:rsidRDefault="00C12A80">
            <w:r>
              <w:t>Share Save schemes</w:t>
            </w:r>
          </w:p>
        </w:tc>
        <w:tc>
          <w:tcPr>
            <w:tcW w:w="113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52EA143D" w14:textId="77777777" w:rsidR="0062640D" w:rsidRDefault="00C12A80">
            <w:pPr>
              <w:pStyle w:val="AccountsBold"/>
            </w:pPr>
            <w:r>
              <w:t>196</w:t>
            </w:r>
          </w:p>
        </w:tc>
        <w:tc>
          <w:tcPr>
            <w:tcW w:w="113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79174F68" w14:textId="77777777" w:rsidR="0062640D" w:rsidRDefault="00C12A80">
            <w:pPr>
              <w:pStyle w:val="Accounts"/>
            </w:pPr>
            <w:r>
              <w:t>330</w:t>
            </w:r>
          </w:p>
        </w:tc>
      </w:tr>
      <w:tr w:rsidR="0062640D" w14:paraId="0B292777" w14:textId="77777777">
        <w:tc>
          <w:tcPr>
            <w:tcW w:w="782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6E0D6960" w14:textId="77777777" w:rsidR="0062640D" w:rsidRDefault="0062640D"/>
        </w:tc>
        <w:tc>
          <w:tcPr>
            <w:tcW w:w="113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139079C5" w14:textId="77777777" w:rsidR="0062640D" w:rsidRDefault="00C12A80">
            <w:pPr>
              <w:pStyle w:val="AccountsBold"/>
            </w:pPr>
            <w:r>
              <w:t>3,615</w:t>
            </w:r>
          </w:p>
        </w:tc>
        <w:tc>
          <w:tcPr>
            <w:tcW w:w="113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289C31A4" w14:textId="77777777" w:rsidR="0062640D" w:rsidRDefault="00C12A80">
            <w:pPr>
              <w:pStyle w:val="Accounts"/>
            </w:pPr>
            <w:r>
              <w:t>5,910</w:t>
            </w:r>
          </w:p>
        </w:tc>
      </w:tr>
    </w:tbl>
    <w:p w14:paraId="44DBAD43" w14:textId="77777777" w:rsidR="0062640D" w:rsidRDefault="0062640D"/>
    <w:p w14:paraId="3A92C38C" w14:textId="77777777" w:rsidR="0062640D" w:rsidRDefault="00C12A80">
      <w:r>
        <w:t>Details of the schemes operated by the Group are set out below:</w:t>
      </w:r>
    </w:p>
    <w:p w14:paraId="2B64B464" w14:textId="77777777" w:rsidR="0062640D" w:rsidRDefault="0062640D"/>
    <w:p w14:paraId="516934B2" w14:textId="77777777" w:rsidR="0062640D" w:rsidRDefault="00C12A80">
      <w:pPr>
        <w:pStyle w:val="Heading-2"/>
      </w:pPr>
      <w:r>
        <w:t>Long Term Incentive Plans</w:t>
      </w:r>
    </w:p>
    <w:p w14:paraId="055222CA" w14:textId="77777777" w:rsidR="005E72B0" w:rsidRPr="006B0F6B" w:rsidRDefault="005E72B0" w:rsidP="007D6844">
      <w:r w:rsidRPr="006B0F6B">
        <w:t xml:space="preserve">During the year ended 31 December 2024, the Board approved the conditional grant of 1,634,668 ordinary shares (‘the Award’) pursuant to the terms and conditions of the Group’s 2017 Long Term Incentive Plan (‘the 2017 LTIP’). The Award was granted to senior employees across the Group (127 in total). Vesting of the Award is based on two independently assessed performance targets, 50% based on Total Shareholder Return (‘TSR’) and 50% based on Free Cashflow Per Share (‘FCPS’). The performance period of this award is 1 January 2024 to 31 December 2026. </w:t>
      </w:r>
    </w:p>
    <w:p w14:paraId="3B0D4479" w14:textId="77777777" w:rsidR="005E72B0" w:rsidRPr="006B0F6B" w:rsidRDefault="005E72B0" w:rsidP="007D6844"/>
    <w:p w14:paraId="0708AC6E" w14:textId="77777777" w:rsidR="005E72B0" w:rsidRPr="006B0F6B" w:rsidRDefault="005E72B0" w:rsidP="007D6844">
      <w:r w:rsidRPr="006B0F6B">
        <w:t xml:space="preserve">Threshold performance for the TSR condition, which is a market-based condition, is a performance measure against a bespoke comparator group of 19 listed peer companies in the travel and leisure sector, with threshold 25% vesting if the Group’s TSR over the performance period is ranked at the median compared to the TSR of the comparator group. If the Group’s TSR performance is at or above the upper quartile compared to the comparator group, the remaining 75% of the award will vest, with pro-rata vesting on a straight-line basis for performance in between these thresholds. </w:t>
      </w:r>
    </w:p>
    <w:p w14:paraId="72CB9C99" w14:textId="77777777" w:rsidR="005E72B0" w:rsidRPr="006B0F6B" w:rsidRDefault="005E72B0" w:rsidP="007D6844"/>
    <w:p w14:paraId="084392F8" w14:textId="77777777" w:rsidR="005E72B0" w:rsidRDefault="005E72B0" w:rsidP="007D6844">
      <w:r w:rsidRPr="006B0F6B">
        <w:t>Threshold performance (25% vesting) for the FCPS condition, which is a non-market-based performance condition, is based on the achievement of FCPS of €0.631, as disclosed in the Group’s 2026 audited consolidated financial statements, with 100% vesting for FCPS of €0.771 or greater. The FCPS based awards will vest on a straight-line basis for performance between these points.</w:t>
      </w:r>
    </w:p>
    <w:p w14:paraId="2369F176" w14:textId="77777777" w:rsidR="005E72B0" w:rsidRDefault="005E72B0" w:rsidP="007D6844"/>
    <w:p w14:paraId="32610CA4" w14:textId="77777777" w:rsidR="005E72B0" w:rsidRPr="006B0F6B" w:rsidRDefault="005E72B0" w:rsidP="007D6844">
      <w:r w:rsidRPr="006B0F6B">
        <w:t xml:space="preserve">Participants are also entitled to receive a dividend equivalent amount in respect of </w:t>
      </w:r>
      <w:r>
        <w:t xml:space="preserve">such number of shares as are released. </w:t>
      </w:r>
      <w:r w:rsidRPr="0039321F">
        <w:t xml:space="preserve">The </w:t>
      </w:r>
      <w:r>
        <w:t>Remuneration Committee</w:t>
      </w:r>
      <w:r w:rsidRPr="006B0F6B">
        <w:t xml:space="preserve"> may </w:t>
      </w:r>
      <w:r w:rsidRPr="0039321F">
        <w:t>amend</w:t>
      </w:r>
      <w:r>
        <w:t xml:space="preserve"> or</w:t>
      </w:r>
      <w:r w:rsidRPr="0039321F">
        <w:t> </w:t>
      </w:r>
      <w:r>
        <w:t xml:space="preserve">substitute a subsisting </w:t>
      </w:r>
      <w:r w:rsidRPr="0039321F">
        <w:t xml:space="preserve">Performance Condition </w:t>
      </w:r>
      <w:r>
        <w:t>if one or more</w:t>
      </w:r>
      <w:r w:rsidRPr="006B0F6B">
        <w:t xml:space="preserve"> event</w:t>
      </w:r>
      <w:r>
        <w:t>s</w:t>
      </w:r>
      <w:r w:rsidRPr="006B0F6B">
        <w:t xml:space="preserve"> </w:t>
      </w:r>
      <w:r w:rsidRPr="0039321F">
        <w:t xml:space="preserve">occur which cause the </w:t>
      </w:r>
      <w:r>
        <w:t>Committee</w:t>
      </w:r>
      <w:r w:rsidRPr="0039321F">
        <w:t xml:space="preserve"> to consider that a substituted or amended Performance Condition would be more appropriate and would not be materially less or more difficult to satisfy than the subsisting Performance Condition.</w:t>
      </w:r>
      <w:r w:rsidRPr="006B0F6B" w:rsidDel="0039321F">
        <w:t xml:space="preserve"> </w:t>
      </w:r>
    </w:p>
    <w:p w14:paraId="502EC213" w14:textId="77777777" w:rsidR="005E72B0" w:rsidRPr="006B0F6B" w:rsidRDefault="005E72B0" w:rsidP="007D6844"/>
    <w:p w14:paraId="2CD82C38" w14:textId="77777777" w:rsidR="005E72B0" w:rsidRPr="006B0F6B" w:rsidRDefault="005E72B0" w:rsidP="005E72B0">
      <w:r w:rsidRPr="006B0F6B">
        <w:t>Movements in the number of share awards are as follows:</w:t>
      </w:r>
    </w:p>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7823"/>
        <w:gridCol w:w="1133"/>
        <w:gridCol w:w="1133"/>
      </w:tblGrid>
      <w:tr w:rsidR="0062640D" w14:paraId="7C914E02" w14:textId="77777777">
        <w:tc>
          <w:tcPr>
            <w:tcW w:w="7823" w:type="dxa"/>
            <w:tcBorders>
              <w:top w:val="nil"/>
              <w:left w:val="nil"/>
              <w:bottom w:val="nil"/>
              <w:right w:val="nil"/>
            </w:tcBorders>
            <w:tcMar>
              <w:top w:w="45" w:type="dxa"/>
              <w:left w:w="0" w:type="dxa"/>
              <w:bottom w:w="0" w:type="dxa"/>
              <w:right w:w="0" w:type="dxa"/>
            </w:tcMar>
            <w:vAlign w:val="bottom"/>
          </w:tcPr>
          <w:p w14:paraId="45F9E5B1" w14:textId="77777777" w:rsidR="0062640D" w:rsidRDefault="0062640D"/>
        </w:tc>
        <w:tc>
          <w:tcPr>
            <w:tcW w:w="1133" w:type="dxa"/>
            <w:tcBorders>
              <w:top w:val="nil"/>
              <w:left w:val="nil"/>
              <w:bottom w:val="nil"/>
              <w:right w:val="nil"/>
            </w:tcBorders>
            <w:tcMar>
              <w:top w:w="45" w:type="dxa"/>
              <w:left w:w="0" w:type="dxa"/>
              <w:bottom w:w="0" w:type="dxa"/>
              <w:right w:w="0" w:type="dxa"/>
            </w:tcMar>
            <w:vAlign w:val="bottom"/>
          </w:tcPr>
          <w:p w14:paraId="1EED8BBF" w14:textId="77777777" w:rsidR="0062640D" w:rsidRDefault="00C12A80">
            <w:pPr>
              <w:pStyle w:val="Table-Headings"/>
            </w:pPr>
            <w:r>
              <w:t>2024</w:t>
            </w:r>
          </w:p>
        </w:tc>
        <w:tc>
          <w:tcPr>
            <w:tcW w:w="1133" w:type="dxa"/>
            <w:tcBorders>
              <w:top w:val="nil"/>
              <w:left w:val="nil"/>
              <w:bottom w:val="nil"/>
              <w:right w:val="nil"/>
            </w:tcBorders>
            <w:tcMar>
              <w:top w:w="56" w:type="dxa"/>
              <w:left w:w="0" w:type="dxa"/>
              <w:bottom w:w="0" w:type="dxa"/>
              <w:right w:w="0" w:type="dxa"/>
            </w:tcMar>
            <w:vAlign w:val="bottom"/>
          </w:tcPr>
          <w:p w14:paraId="1A16ED10" w14:textId="77777777" w:rsidR="0062640D" w:rsidRDefault="00C12A80">
            <w:pPr>
              <w:pStyle w:val="Table-Headings"/>
            </w:pPr>
            <w:r>
              <w:t>2023</w:t>
            </w:r>
          </w:p>
        </w:tc>
      </w:tr>
      <w:tr w:rsidR="0062640D" w14:paraId="30D44983" w14:textId="77777777">
        <w:tc>
          <w:tcPr>
            <w:tcW w:w="7823" w:type="dxa"/>
            <w:tcBorders>
              <w:top w:val="nil"/>
              <w:left w:val="nil"/>
              <w:bottom w:val="single" w:sz="6" w:space="0" w:color="FF777C"/>
              <w:right w:val="nil"/>
            </w:tcBorders>
            <w:tcMar>
              <w:top w:w="45" w:type="dxa"/>
              <w:left w:w="0" w:type="dxa"/>
              <w:bottom w:w="56" w:type="dxa"/>
              <w:right w:w="0" w:type="dxa"/>
            </w:tcMar>
            <w:vAlign w:val="bottom"/>
          </w:tcPr>
          <w:p w14:paraId="6D6AA2B4" w14:textId="77777777" w:rsidR="0062640D" w:rsidRDefault="0062640D"/>
        </w:tc>
        <w:tc>
          <w:tcPr>
            <w:tcW w:w="1133" w:type="dxa"/>
            <w:tcBorders>
              <w:top w:val="nil"/>
              <w:left w:val="nil"/>
              <w:bottom w:val="single" w:sz="6" w:space="0" w:color="FF777C"/>
              <w:right w:val="nil"/>
            </w:tcBorders>
            <w:tcMar>
              <w:top w:w="45" w:type="dxa"/>
              <w:left w:w="0" w:type="dxa"/>
              <w:bottom w:w="56" w:type="dxa"/>
              <w:right w:w="0" w:type="dxa"/>
            </w:tcMar>
            <w:vAlign w:val="bottom"/>
          </w:tcPr>
          <w:p w14:paraId="2EF0B686" w14:textId="77777777" w:rsidR="0062640D" w:rsidRDefault="00C12A80">
            <w:pPr>
              <w:pStyle w:val="Table-Headings"/>
            </w:pPr>
            <w:r>
              <w:t>Awards</w:t>
            </w:r>
          </w:p>
        </w:tc>
        <w:tc>
          <w:tcPr>
            <w:tcW w:w="1133" w:type="dxa"/>
            <w:tcBorders>
              <w:top w:val="nil"/>
              <w:left w:val="nil"/>
              <w:bottom w:val="single" w:sz="6" w:space="0" w:color="FF777C"/>
              <w:right w:val="nil"/>
            </w:tcBorders>
            <w:tcMar>
              <w:top w:w="56" w:type="dxa"/>
              <w:left w:w="0" w:type="dxa"/>
              <w:bottom w:w="85" w:type="dxa"/>
              <w:right w:w="0" w:type="dxa"/>
            </w:tcMar>
            <w:vAlign w:val="bottom"/>
          </w:tcPr>
          <w:p w14:paraId="6396F224" w14:textId="77777777" w:rsidR="0062640D" w:rsidRDefault="00C12A80">
            <w:pPr>
              <w:pStyle w:val="Table-Headings"/>
            </w:pPr>
            <w:r>
              <w:t>Awards</w:t>
            </w:r>
          </w:p>
        </w:tc>
      </w:tr>
      <w:tr w:rsidR="0062640D" w14:paraId="382E3911" w14:textId="77777777">
        <w:tc>
          <w:tcPr>
            <w:tcW w:w="782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5B14F8C9" w14:textId="77777777" w:rsidR="0062640D" w:rsidRDefault="00C12A80">
            <w:r>
              <w:t>Outstanding at the beginning of the year</w:t>
            </w:r>
          </w:p>
        </w:tc>
        <w:tc>
          <w:tcPr>
            <w:tcW w:w="113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4E991AD3" w14:textId="77777777" w:rsidR="0062640D" w:rsidRDefault="00C12A80">
            <w:pPr>
              <w:pStyle w:val="AccountsBold"/>
            </w:pPr>
            <w:r>
              <w:t>4,089,901</w:t>
            </w:r>
          </w:p>
        </w:tc>
        <w:tc>
          <w:tcPr>
            <w:tcW w:w="113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62A6E864" w14:textId="77777777" w:rsidR="0062640D" w:rsidRDefault="00C12A80">
            <w:pPr>
              <w:pStyle w:val="Accounts"/>
            </w:pPr>
            <w:r>
              <w:t>4,837,170</w:t>
            </w:r>
          </w:p>
        </w:tc>
      </w:tr>
      <w:tr w:rsidR="0062640D" w14:paraId="3A8C4259"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60501ADD" w14:textId="77777777" w:rsidR="0062640D" w:rsidRDefault="00C12A80">
            <w:r>
              <w:t>Granted during the year</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7C237A61" w14:textId="77777777" w:rsidR="0062640D" w:rsidRDefault="00C12A80">
            <w:pPr>
              <w:pStyle w:val="AccountsBold"/>
            </w:pPr>
            <w:r>
              <w:t>1,634,668</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781AE33B" w14:textId="77777777" w:rsidR="0062640D" w:rsidRDefault="00C12A80">
            <w:pPr>
              <w:pStyle w:val="Accounts"/>
            </w:pPr>
            <w:r>
              <w:t>1,574,799</w:t>
            </w:r>
          </w:p>
        </w:tc>
      </w:tr>
      <w:tr w:rsidR="0062640D" w14:paraId="12A66E76"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31DA2A2C" w14:textId="77777777" w:rsidR="0062640D" w:rsidRDefault="00C12A80">
            <w:r>
              <w:t xml:space="preserve">Forfeited during the year </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990ABA9" w14:textId="77777777" w:rsidR="0062640D" w:rsidRDefault="00C12A80">
            <w:pPr>
              <w:pStyle w:val="Account-BracketBold"/>
            </w:pPr>
            <w:r>
              <w:t>(127,780)</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5E16256B" w14:textId="77777777" w:rsidR="0062640D" w:rsidRDefault="00C12A80">
            <w:pPr>
              <w:pStyle w:val="Accounts-Bracket"/>
            </w:pPr>
            <w:r>
              <w:t>(52,901)</w:t>
            </w:r>
          </w:p>
        </w:tc>
      </w:tr>
      <w:tr w:rsidR="0062640D" w14:paraId="65D93703"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5E8709F" w14:textId="77777777" w:rsidR="0062640D" w:rsidRDefault="00C12A80">
            <w:r>
              <w:t>Lapsed unvested during the year</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1354FBE" w14:textId="77777777" w:rsidR="0062640D" w:rsidRDefault="00C12A80">
            <w:pPr>
              <w:pStyle w:val="AccountsBold"/>
            </w:pPr>
            <w:r>
              <w:t>-</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540E68B" w14:textId="77777777" w:rsidR="0062640D" w:rsidRDefault="00C12A80">
            <w:pPr>
              <w:pStyle w:val="Accounts-Bracket"/>
            </w:pPr>
            <w:r>
              <w:t>(1,733,533)</w:t>
            </w:r>
          </w:p>
        </w:tc>
      </w:tr>
      <w:tr w:rsidR="0062640D" w14:paraId="1D196FB6"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59206A18" w14:textId="77777777" w:rsidR="0062640D" w:rsidRDefault="00C12A80">
            <w:r>
              <w:t>Dividend equivalent</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B930C29" w14:textId="77777777" w:rsidR="0062640D" w:rsidRDefault="00C12A80">
            <w:pPr>
              <w:pStyle w:val="Account-BracketBold"/>
            </w:pPr>
            <w:r>
              <w:t>(10,744)</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63465AE2" w14:textId="3290E81A" w:rsidR="0062640D" w:rsidRDefault="002C6378" w:rsidP="00711584">
            <w:pPr>
              <w:jc w:val="right"/>
            </w:pPr>
            <w:r>
              <w:t>-</w:t>
            </w:r>
          </w:p>
        </w:tc>
      </w:tr>
      <w:tr w:rsidR="0062640D" w14:paraId="68B48ADD" w14:textId="77777777">
        <w:tc>
          <w:tcPr>
            <w:tcW w:w="782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73DF6A43" w14:textId="6E63245E" w:rsidR="0062640D" w:rsidRDefault="00C12A80">
            <w:r>
              <w:t xml:space="preserve">Exercised during the year </w:t>
            </w:r>
          </w:p>
        </w:tc>
        <w:tc>
          <w:tcPr>
            <w:tcW w:w="113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5CFC81AD" w14:textId="77777777" w:rsidR="0062640D" w:rsidRDefault="00C12A80">
            <w:pPr>
              <w:pStyle w:val="Account-BracketBold"/>
            </w:pPr>
            <w:r>
              <w:t>(1,081,517)</w:t>
            </w:r>
          </w:p>
        </w:tc>
        <w:tc>
          <w:tcPr>
            <w:tcW w:w="113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5E07B4EB" w14:textId="77777777" w:rsidR="0062640D" w:rsidRDefault="00C12A80">
            <w:pPr>
              <w:pStyle w:val="Accounts-Bracket"/>
            </w:pPr>
            <w:r>
              <w:t>(535,634)</w:t>
            </w:r>
          </w:p>
        </w:tc>
      </w:tr>
      <w:tr w:rsidR="0062640D" w14:paraId="0423DB6D" w14:textId="77777777">
        <w:tc>
          <w:tcPr>
            <w:tcW w:w="782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714024E9" w14:textId="77777777" w:rsidR="0062640D" w:rsidRDefault="00C12A80">
            <w:pPr>
              <w:pStyle w:val="Heading-2"/>
            </w:pPr>
            <w:r>
              <w:t>Outstanding at the end of the year</w:t>
            </w:r>
          </w:p>
        </w:tc>
        <w:tc>
          <w:tcPr>
            <w:tcW w:w="113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44D4FCAD" w14:textId="77777777" w:rsidR="0062640D" w:rsidRDefault="00C12A80">
            <w:pPr>
              <w:pStyle w:val="AccountsBold"/>
            </w:pPr>
            <w:r>
              <w:t>4,504,528</w:t>
            </w:r>
          </w:p>
        </w:tc>
        <w:tc>
          <w:tcPr>
            <w:tcW w:w="113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39EE4041" w14:textId="77777777" w:rsidR="0062640D" w:rsidRDefault="00C12A80">
            <w:pPr>
              <w:pStyle w:val="Accounts"/>
            </w:pPr>
            <w:r>
              <w:t>4,089,901</w:t>
            </w:r>
          </w:p>
        </w:tc>
      </w:tr>
    </w:tbl>
    <w:p w14:paraId="6EA5A7F5" w14:textId="77777777" w:rsidR="0062640D" w:rsidRDefault="0062640D"/>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7823"/>
        <w:gridCol w:w="1133"/>
        <w:gridCol w:w="1133"/>
      </w:tblGrid>
      <w:tr w:rsidR="0062640D" w14:paraId="66C7756F" w14:textId="77777777">
        <w:tc>
          <w:tcPr>
            <w:tcW w:w="7823" w:type="dxa"/>
            <w:tcBorders>
              <w:top w:val="nil"/>
              <w:left w:val="nil"/>
              <w:bottom w:val="nil"/>
              <w:right w:val="nil"/>
            </w:tcBorders>
            <w:tcMar>
              <w:top w:w="45" w:type="dxa"/>
              <w:left w:w="0" w:type="dxa"/>
              <w:bottom w:w="0" w:type="dxa"/>
              <w:right w:w="0" w:type="dxa"/>
            </w:tcMar>
            <w:vAlign w:val="bottom"/>
          </w:tcPr>
          <w:p w14:paraId="64294728" w14:textId="77777777" w:rsidR="0062640D" w:rsidRDefault="0062640D"/>
        </w:tc>
        <w:tc>
          <w:tcPr>
            <w:tcW w:w="1133" w:type="dxa"/>
            <w:tcBorders>
              <w:top w:val="nil"/>
              <w:left w:val="nil"/>
              <w:bottom w:val="nil"/>
              <w:right w:val="nil"/>
            </w:tcBorders>
            <w:tcMar>
              <w:top w:w="45" w:type="dxa"/>
              <w:left w:w="0" w:type="dxa"/>
              <w:bottom w:w="0" w:type="dxa"/>
              <w:right w:w="0" w:type="dxa"/>
            </w:tcMar>
            <w:vAlign w:val="bottom"/>
          </w:tcPr>
          <w:p w14:paraId="1E9BAB9D" w14:textId="77777777" w:rsidR="0062640D" w:rsidRDefault="00C12A80">
            <w:pPr>
              <w:pStyle w:val="Table-Headings"/>
            </w:pPr>
            <w:r>
              <w:t>2024</w:t>
            </w:r>
          </w:p>
        </w:tc>
        <w:tc>
          <w:tcPr>
            <w:tcW w:w="1133" w:type="dxa"/>
            <w:tcBorders>
              <w:top w:val="nil"/>
              <w:left w:val="nil"/>
              <w:bottom w:val="nil"/>
              <w:right w:val="nil"/>
            </w:tcBorders>
            <w:tcMar>
              <w:top w:w="56" w:type="dxa"/>
              <w:left w:w="0" w:type="dxa"/>
              <w:bottom w:w="0" w:type="dxa"/>
              <w:right w:w="0" w:type="dxa"/>
            </w:tcMar>
            <w:vAlign w:val="bottom"/>
          </w:tcPr>
          <w:p w14:paraId="551376F5" w14:textId="77777777" w:rsidR="0062640D" w:rsidRDefault="00C12A80">
            <w:pPr>
              <w:pStyle w:val="Table-Headings"/>
            </w:pPr>
            <w:r>
              <w:t>2023</w:t>
            </w:r>
          </w:p>
        </w:tc>
      </w:tr>
      <w:tr w:rsidR="0062640D" w14:paraId="1508BD84" w14:textId="77777777">
        <w:tc>
          <w:tcPr>
            <w:tcW w:w="7823" w:type="dxa"/>
            <w:tcBorders>
              <w:top w:val="nil"/>
              <w:left w:val="nil"/>
              <w:bottom w:val="single" w:sz="6" w:space="0" w:color="FF777C"/>
              <w:right w:val="nil"/>
            </w:tcBorders>
            <w:tcMar>
              <w:top w:w="45" w:type="dxa"/>
              <w:left w:w="0" w:type="dxa"/>
              <w:bottom w:w="56" w:type="dxa"/>
              <w:right w:w="0" w:type="dxa"/>
            </w:tcMar>
            <w:vAlign w:val="bottom"/>
          </w:tcPr>
          <w:p w14:paraId="0CF11AC3" w14:textId="77777777" w:rsidR="0062640D" w:rsidRDefault="0062640D"/>
        </w:tc>
        <w:tc>
          <w:tcPr>
            <w:tcW w:w="1133" w:type="dxa"/>
            <w:tcBorders>
              <w:top w:val="nil"/>
              <w:left w:val="nil"/>
              <w:bottom w:val="single" w:sz="6" w:space="0" w:color="FF777C"/>
              <w:right w:val="nil"/>
            </w:tcBorders>
            <w:tcMar>
              <w:top w:w="45" w:type="dxa"/>
              <w:left w:w="0" w:type="dxa"/>
              <w:bottom w:w="56" w:type="dxa"/>
              <w:right w:w="0" w:type="dxa"/>
            </w:tcMar>
            <w:vAlign w:val="bottom"/>
          </w:tcPr>
          <w:p w14:paraId="189C72D9" w14:textId="77777777" w:rsidR="0062640D" w:rsidRDefault="00C12A80">
            <w:pPr>
              <w:pStyle w:val="Table-Headings"/>
            </w:pPr>
            <w:r>
              <w:t>Awards</w:t>
            </w:r>
          </w:p>
        </w:tc>
        <w:tc>
          <w:tcPr>
            <w:tcW w:w="1133" w:type="dxa"/>
            <w:tcBorders>
              <w:top w:val="nil"/>
              <w:left w:val="nil"/>
              <w:bottom w:val="single" w:sz="6" w:space="0" w:color="FF777C"/>
              <w:right w:val="nil"/>
            </w:tcBorders>
            <w:tcMar>
              <w:top w:w="56" w:type="dxa"/>
              <w:left w:w="0" w:type="dxa"/>
              <w:bottom w:w="85" w:type="dxa"/>
              <w:right w:w="0" w:type="dxa"/>
            </w:tcMar>
            <w:vAlign w:val="bottom"/>
          </w:tcPr>
          <w:p w14:paraId="44EEB7AA" w14:textId="77777777" w:rsidR="0062640D" w:rsidRDefault="00C12A80">
            <w:pPr>
              <w:pStyle w:val="Table-Headings"/>
            </w:pPr>
            <w:r>
              <w:t>Awards</w:t>
            </w:r>
          </w:p>
        </w:tc>
      </w:tr>
      <w:tr w:rsidR="0062640D" w14:paraId="6804B87A" w14:textId="77777777">
        <w:tc>
          <w:tcPr>
            <w:tcW w:w="7823" w:type="dxa"/>
            <w:tcBorders>
              <w:top w:val="single" w:sz="6" w:space="0" w:color="FF777C"/>
              <w:left w:val="nil"/>
              <w:bottom w:val="none" w:sz="8" w:space="0" w:color="auto"/>
              <w:right w:val="nil"/>
            </w:tcBorders>
            <w:tcMar>
              <w:top w:w="56" w:type="dxa"/>
              <w:left w:w="0" w:type="dxa"/>
              <w:bottom w:w="85" w:type="dxa"/>
              <w:right w:w="0" w:type="dxa"/>
            </w:tcMar>
            <w:vAlign w:val="bottom"/>
          </w:tcPr>
          <w:p w14:paraId="0B5B32BE" w14:textId="77777777" w:rsidR="0062640D" w:rsidRDefault="00C12A80">
            <w:pPr>
              <w:pStyle w:val="Heading-2"/>
            </w:pPr>
            <w:r>
              <w:t>Grant date</w:t>
            </w:r>
          </w:p>
        </w:tc>
        <w:tc>
          <w:tcPr>
            <w:tcW w:w="1133" w:type="dxa"/>
            <w:tcBorders>
              <w:top w:val="single" w:sz="6" w:space="0" w:color="FF777C"/>
              <w:left w:val="nil"/>
              <w:bottom w:val="none" w:sz="8" w:space="0" w:color="auto"/>
              <w:right w:val="nil"/>
            </w:tcBorders>
            <w:tcMar>
              <w:top w:w="56" w:type="dxa"/>
              <w:left w:w="0" w:type="dxa"/>
              <w:bottom w:w="85" w:type="dxa"/>
              <w:right w:w="0" w:type="dxa"/>
            </w:tcMar>
            <w:vAlign w:val="bottom"/>
          </w:tcPr>
          <w:p w14:paraId="44B668EE" w14:textId="77777777" w:rsidR="0062640D" w:rsidRDefault="0062640D"/>
        </w:tc>
        <w:tc>
          <w:tcPr>
            <w:tcW w:w="1133" w:type="dxa"/>
            <w:tcBorders>
              <w:top w:val="single" w:sz="6" w:space="0" w:color="FF777C"/>
              <w:left w:val="nil"/>
              <w:bottom w:val="none" w:sz="8" w:space="0" w:color="auto"/>
              <w:right w:val="nil"/>
            </w:tcBorders>
            <w:tcMar>
              <w:top w:w="56" w:type="dxa"/>
              <w:left w:w="0" w:type="dxa"/>
              <w:bottom w:w="85" w:type="dxa"/>
              <w:right w:w="0" w:type="dxa"/>
            </w:tcMar>
            <w:vAlign w:val="bottom"/>
          </w:tcPr>
          <w:p w14:paraId="24E45E5C" w14:textId="77777777" w:rsidR="0062640D" w:rsidRDefault="0062640D"/>
        </w:tc>
      </w:tr>
      <w:tr w:rsidR="0062640D" w14:paraId="3E5A20BE"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825FDFC" w14:textId="77777777" w:rsidR="0062640D" w:rsidRDefault="00C12A80">
            <w:r>
              <w:t>March 2021</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048D61FA" w14:textId="77777777" w:rsidR="0062640D" w:rsidRDefault="00C12A80">
            <w:pPr>
              <w:pStyle w:val="AccountsBold"/>
            </w:pPr>
            <w:r>
              <w:t>-</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3EF4547D" w14:textId="77777777" w:rsidR="0062640D" w:rsidRDefault="00C12A80">
            <w:pPr>
              <w:pStyle w:val="Accounts"/>
            </w:pPr>
            <w:r>
              <w:t>1,099,661</w:t>
            </w:r>
          </w:p>
        </w:tc>
      </w:tr>
      <w:tr w:rsidR="0062640D" w14:paraId="26DFCCD9"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22A6F0FE" w14:textId="77777777" w:rsidR="0062640D" w:rsidRDefault="00C12A80">
            <w:r>
              <w:t>March 2022</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7977FD30" w14:textId="77777777" w:rsidR="0062640D" w:rsidRDefault="00C12A80">
            <w:pPr>
              <w:pStyle w:val="AccountsBold"/>
            </w:pPr>
            <w:r>
              <w:t>1,389,631</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0B390E21" w14:textId="77777777" w:rsidR="0062640D" w:rsidRDefault="00C12A80">
            <w:pPr>
              <w:pStyle w:val="Accounts"/>
            </w:pPr>
            <w:r>
              <w:t>1,427,175</w:t>
            </w:r>
          </w:p>
        </w:tc>
      </w:tr>
      <w:tr w:rsidR="0062640D" w14:paraId="358F4954" w14:textId="77777777">
        <w:tc>
          <w:tcPr>
            <w:tcW w:w="7823"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72C277E5" w14:textId="77777777" w:rsidR="0062640D" w:rsidRDefault="00C12A80">
            <w:r>
              <w:t>March 2023</w:t>
            </w:r>
          </w:p>
        </w:tc>
        <w:tc>
          <w:tcPr>
            <w:tcW w:w="1133"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297E8EF1" w14:textId="77777777" w:rsidR="0062640D" w:rsidRDefault="00C12A80">
            <w:pPr>
              <w:pStyle w:val="AccountsBold"/>
            </w:pPr>
            <w:r>
              <w:t>1,498,692</w:t>
            </w:r>
          </w:p>
        </w:tc>
        <w:tc>
          <w:tcPr>
            <w:tcW w:w="1133"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773E8C0A" w14:textId="77777777" w:rsidR="0062640D" w:rsidRDefault="00C12A80">
            <w:pPr>
              <w:pStyle w:val="Accounts"/>
            </w:pPr>
            <w:r>
              <w:t>1,540,346</w:t>
            </w:r>
          </w:p>
        </w:tc>
      </w:tr>
      <w:tr w:rsidR="0062640D" w14:paraId="18E19645" w14:textId="77777777">
        <w:tc>
          <w:tcPr>
            <w:tcW w:w="7823" w:type="dxa"/>
            <w:tcBorders>
              <w:top w:val="nil"/>
              <w:left w:val="none" w:sz="8" w:space="0" w:color="auto"/>
              <w:bottom w:val="nil"/>
              <w:right w:val="none" w:sz="8" w:space="0" w:color="auto"/>
            </w:tcBorders>
            <w:tcMar>
              <w:top w:w="56" w:type="dxa"/>
              <w:left w:w="0" w:type="dxa"/>
              <w:bottom w:w="85" w:type="dxa"/>
              <w:right w:w="0" w:type="dxa"/>
            </w:tcMar>
            <w:vAlign w:val="bottom"/>
          </w:tcPr>
          <w:p w14:paraId="54FCF25B" w14:textId="77777777" w:rsidR="0062640D" w:rsidRDefault="00C12A80">
            <w:r>
              <w:t>May 2023</w:t>
            </w:r>
          </w:p>
        </w:tc>
        <w:tc>
          <w:tcPr>
            <w:tcW w:w="1133" w:type="dxa"/>
            <w:tcBorders>
              <w:top w:val="nil"/>
              <w:left w:val="none" w:sz="8" w:space="0" w:color="auto"/>
              <w:bottom w:val="nil"/>
              <w:right w:val="none" w:sz="8" w:space="0" w:color="auto"/>
            </w:tcBorders>
            <w:tcMar>
              <w:top w:w="56" w:type="dxa"/>
              <w:left w:w="0" w:type="dxa"/>
              <w:bottom w:w="85" w:type="dxa"/>
              <w:right w:w="0" w:type="dxa"/>
            </w:tcMar>
            <w:vAlign w:val="bottom"/>
          </w:tcPr>
          <w:p w14:paraId="06EA7AE8" w14:textId="77777777" w:rsidR="0062640D" w:rsidRDefault="00C12A80">
            <w:pPr>
              <w:pStyle w:val="AccountsBold"/>
            </w:pPr>
            <w:r>
              <w:t>22,719</w:t>
            </w:r>
          </w:p>
        </w:tc>
        <w:tc>
          <w:tcPr>
            <w:tcW w:w="1133" w:type="dxa"/>
            <w:tcBorders>
              <w:top w:val="nil"/>
              <w:left w:val="none" w:sz="8" w:space="0" w:color="auto"/>
              <w:bottom w:val="nil"/>
              <w:right w:val="none" w:sz="8" w:space="0" w:color="auto"/>
            </w:tcBorders>
            <w:tcMar>
              <w:top w:w="56" w:type="dxa"/>
              <w:left w:w="0" w:type="dxa"/>
              <w:bottom w:w="85" w:type="dxa"/>
              <w:right w:w="0" w:type="dxa"/>
            </w:tcMar>
            <w:vAlign w:val="bottom"/>
          </w:tcPr>
          <w:p w14:paraId="6C79D4B2" w14:textId="77777777" w:rsidR="0062640D" w:rsidRDefault="00C12A80">
            <w:pPr>
              <w:pStyle w:val="Accounts"/>
            </w:pPr>
            <w:r>
              <w:t>22,719</w:t>
            </w:r>
          </w:p>
        </w:tc>
      </w:tr>
      <w:tr w:rsidR="0062640D" w14:paraId="68745DF2" w14:textId="77777777">
        <w:tc>
          <w:tcPr>
            <w:tcW w:w="7823" w:type="dxa"/>
            <w:tcBorders>
              <w:top w:val="nil"/>
              <w:left w:val="nil"/>
              <w:bottom w:val="single" w:sz="4" w:space="0" w:color="FF777C"/>
              <w:right w:val="nil"/>
            </w:tcBorders>
            <w:tcMar>
              <w:top w:w="56" w:type="dxa"/>
              <w:left w:w="0" w:type="dxa"/>
              <w:bottom w:w="85" w:type="dxa"/>
              <w:right w:w="0" w:type="dxa"/>
            </w:tcMar>
            <w:vAlign w:val="bottom"/>
          </w:tcPr>
          <w:p w14:paraId="214E943C" w14:textId="77777777" w:rsidR="0062640D" w:rsidRDefault="00C12A80">
            <w:r>
              <w:t>March 2024</w:t>
            </w:r>
          </w:p>
        </w:tc>
        <w:tc>
          <w:tcPr>
            <w:tcW w:w="1133" w:type="dxa"/>
            <w:tcBorders>
              <w:top w:val="nil"/>
              <w:left w:val="nil"/>
              <w:bottom w:val="single" w:sz="4" w:space="0" w:color="FF777C"/>
              <w:right w:val="nil"/>
            </w:tcBorders>
            <w:tcMar>
              <w:top w:w="56" w:type="dxa"/>
              <w:left w:w="0" w:type="dxa"/>
              <w:bottom w:w="85" w:type="dxa"/>
              <w:right w:w="0" w:type="dxa"/>
            </w:tcMar>
            <w:vAlign w:val="bottom"/>
          </w:tcPr>
          <w:p w14:paraId="5E9979FE" w14:textId="77777777" w:rsidR="0062640D" w:rsidRDefault="00C12A80">
            <w:pPr>
              <w:pStyle w:val="AccountsBold"/>
            </w:pPr>
            <w:r>
              <w:t>1,593,486</w:t>
            </w:r>
          </w:p>
        </w:tc>
        <w:tc>
          <w:tcPr>
            <w:tcW w:w="1133" w:type="dxa"/>
            <w:tcBorders>
              <w:top w:val="nil"/>
              <w:left w:val="nil"/>
              <w:bottom w:val="single" w:sz="4" w:space="0" w:color="FF777C"/>
              <w:right w:val="nil"/>
            </w:tcBorders>
            <w:tcMar>
              <w:top w:w="56" w:type="dxa"/>
              <w:left w:w="0" w:type="dxa"/>
              <w:bottom w:w="85" w:type="dxa"/>
              <w:right w:w="0" w:type="dxa"/>
            </w:tcMar>
            <w:vAlign w:val="bottom"/>
          </w:tcPr>
          <w:p w14:paraId="40E9E7F4" w14:textId="77777777" w:rsidR="0062640D" w:rsidRDefault="00C12A80">
            <w:pPr>
              <w:pStyle w:val="Accounts"/>
            </w:pPr>
            <w:r>
              <w:t>-</w:t>
            </w:r>
          </w:p>
        </w:tc>
      </w:tr>
      <w:tr w:rsidR="0062640D" w14:paraId="1791A5D1" w14:textId="77777777">
        <w:tc>
          <w:tcPr>
            <w:tcW w:w="7823" w:type="dxa"/>
            <w:tcBorders>
              <w:top w:val="single" w:sz="4" w:space="0" w:color="FF777C"/>
              <w:left w:val="nil"/>
              <w:bottom w:val="single" w:sz="6" w:space="0" w:color="FF777C"/>
              <w:right w:val="nil"/>
            </w:tcBorders>
            <w:tcMar>
              <w:top w:w="56" w:type="dxa"/>
              <w:left w:w="0" w:type="dxa"/>
              <w:bottom w:w="85" w:type="dxa"/>
              <w:right w:w="0" w:type="dxa"/>
            </w:tcMar>
            <w:vAlign w:val="bottom"/>
          </w:tcPr>
          <w:p w14:paraId="5344F2BE" w14:textId="77777777" w:rsidR="0062640D" w:rsidRDefault="00C12A80">
            <w:pPr>
              <w:pStyle w:val="Heading-2"/>
            </w:pPr>
            <w:r>
              <w:t>Outstanding at the end of the year</w:t>
            </w:r>
          </w:p>
        </w:tc>
        <w:tc>
          <w:tcPr>
            <w:tcW w:w="1133" w:type="dxa"/>
            <w:tcBorders>
              <w:top w:val="single" w:sz="4" w:space="0" w:color="FF777C"/>
              <w:left w:val="nil"/>
              <w:bottom w:val="single" w:sz="6" w:space="0" w:color="FF777C"/>
              <w:right w:val="nil"/>
            </w:tcBorders>
            <w:tcMar>
              <w:top w:w="56" w:type="dxa"/>
              <w:left w:w="0" w:type="dxa"/>
              <w:bottom w:w="85" w:type="dxa"/>
              <w:right w:w="0" w:type="dxa"/>
            </w:tcMar>
            <w:vAlign w:val="bottom"/>
          </w:tcPr>
          <w:p w14:paraId="17213719" w14:textId="77777777" w:rsidR="0062640D" w:rsidRDefault="00C12A80">
            <w:pPr>
              <w:pStyle w:val="AccountsBold"/>
            </w:pPr>
            <w:r>
              <w:t>4,504,528</w:t>
            </w:r>
          </w:p>
        </w:tc>
        <w:tc>
          <w:tcPr>
            <w:tcW w:w="1133" w:type="dxa"/>
            <w:tcBorders>
              <w:top w:val="single" w:sz="4" w:space="0" w:color="FF777C"/>
              <w:left w:val="nil"/>
              <w:bottom w:val="single" w:sz="6" w:space="0" w:color="FF777C"/>
              <w:right w:val="nil"/>
            </w:tcBorders>
            <w:tcMar>
              <w:top w:w="56" w:type="dxa"/>
              <w:left w:w="0" w:type="dxa"/>
              <w:bottom w:w="85" w:type="dxa"/>
              <w:right w:w="0" w:type="dxa"/>
            </w:tcMar>
            <w:vAlign w:val="bottom"/>
          </w:tcPr>
          <w:p w14:paraId="704B65EA" w14:textId="77777777" w:rsidR="0062640D" w:rsidRDefault="00C12A80">
            <w:pPr>
              <w:pStyle w:val="Accounts"/>
            </w:pPr>
            <w:r>
              <w:t>4,089,901</w:t>
            </w:r>
          </w:p>
        </w:tc>
      </w:tr>
    </w:tbl>
    <w:p w14:paraId="4992F44E" w14:textId="77777777" w:rsidR="0062640D" w:rsidRDefault="0062640D"/>
    <w:p w14:paraId="25B322B6" w14:textId="77777777" w:rsidR="0062640D" w:rsidRDefault="00C12A80">
      <w:pPr>
        <w:pStyle w:val="Heading-2"/>
      </w:pPr>
      <w:r>
        <w:t xml:space="preserve">Awards vested </w:t>
      </w:r>
    </w:p>
    <w:p w14:paraId="320DF1EF" w14:textId="60CE8BE5" w:rsidR="005E72B0" w:rsidRPr="006B0F6B" w:rsidRDefault="005E72B0" w:rsidP="005E72B0">
      <w:r w:rsidRPr="006B0F6B">
        <w:t>During the year ended 31 December 2024, the Company issued 1,092,261 shares on foot of the vesting of awards granted in March 2021 under the terms of the 2017 LTIP, of which 10,744 were dividend equivalents. The shares were issued through the Employee Benefit Trust (</w:t>
      </w:r>
      <w:hyperlink w:anchor="note-19" w:history="1">
        <w:r w:rsidRPr="001D58A0">
          <w:rPr>
            <w:rStyle w:val="Hyperlink"/>
          </w:rPr>
          <w:t>note 19</w:t>
        </w:r>
      </w:hyperlink>
      <w:r w:rsidRPr="006B0F6B">
        <w:t xml:space="preserve">). </w:t>
      </w:r>
    </w:p>
    <w:p w14:paraId="2518BDF0" w14:textId="77777777" w:rsidR="0062640D" w:rsidRDefault="0062640D"/>
    <w:p w14:paraId="413B5B75" w14:textId="77777777" w:rsidR="0062640D" w:rsidRDefault="00C12A80">
      <w:r>
        <w:t>The weighted average share price at the date of exercise of these awards was €4.32.</w:t>
      </w:r>
    </w:p>
    <w:p w14:paraId="1D3064FB" w14:textId="77777777" w:rsidR="0062640D" w:rsidRDefault="0062640D"/>
    <w:p w14:paraId="649EC3FA" w14:textId="77777777" w:rsidR="0062640D" w:rsidRDefault="00C12A80">
      <w:pPr>
        <w:pStyle w:val="Heading-2"/>
      </w:pPr>
      <w:r>
        <w:t>Measurement of fair values</w:t>
      </w:r>
    </w:p>
    <w:p w14:paraId="39D14302" w14:textId="77777777" w:rsidR="0062640D" w:rsidRDefault="00C12A80">
      <w:r>
        <w:t xml:space="preserve">The fair value, at the grant date, of the TSR-based conditional share awards was measured using a Monte Carlo simulation model. Non-market-based performance conditions attached to the awards were not </w:t>
      </w:r>
      <w:proofErr w:type="gramStart"/>
      <w:r>
        <w:t>taken into account</w:t>
      </w:r>
      <w:proofErr w:type="gramEnd"/>
      <w:r>
        <w:t xml:space="preserve"> in measuring fair value at the grant date. </w:t>
      </w:r>
    </w:p>
    <w:p w14:paraId="2C0480DD" w14:textId="77777777" w:rsidR="0062640D" w:rsidRDefault="0062640D"/>
    <w:p w14:paraId="43D06FA8" w14:textId="77777777" w:rsidR="0062640D" w:rsidRDefault="00C12A80">
      <w:r>
        <w:t>The valuation and key assumptions used in the measurement of the fair values of awards at the grant date were as follows:</w:t>
      </w:r>
    </w:p>
    <w:p w14:paraId="2E5863E9" w14:textId="77777777" w:rsidR="0062640D" w:rsidRDefault="0062640D"/>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6521"/>
        <w:gridCol w:w="1303"/>
        <w:gridCol w:w="1133"/>
        <w:gridCol w:w="1133"/>
      </w:tblGrid>
      <w:tr w:rsidR="0062640D" w14:paraId="413FF1EB" w14:textId="77777777">
        <w:tc>
          <w:tcPr>
            <w:tcW w:w="6521" w:type="dxa"/>
            <w:tcBorders>
              <w:top w:val="nil"/>
              <w:left w:val="nil"/>
              <w:bottom w:val="single" w:sz="6" w:space="0" w:color="FF777C"/>
              <w:right w:val="nil"/>
            </w:tcBorders>
            <w:tcMar>
              <w:top w:w="45" w:type="dxa"/>
              <w:left w:w="0" w:type="dxa"/>
              <w:bottom w:w="56" w:type="dxa"/>
              <w:right w:w="0" w:type="dxa"/>
            </w:tcMar>
            <w:vAlign w:val="bottom"/>
          </w:tcPr>
          <w:p w14:paraId="0FFDC05B" w14:textId="77777777" w:rsidR="0062640D" w:rsidRDefault="0062640D"/>
        </w:tc>
        <w:tc>
          <w:tcPr>
            <w:tcW w:w="1303" w:type="dxa"/>
            <w:tcBorders>
              <w:top w:val="nil"/>
              <w:left w:val="nil"/>
              <w:bottom w:val="single" w:sz="6" w:space="0" w:color="FF777C"/>
              <w:right w:val="nil"/>
            </w:tcBorders>
            <w:tcMar>
              <w:top w:w="45" w:type="dxa"/>
              <w:left w:w="0" w:type="dxa"/>
              <w:bottom w:w="56" w:type="dxa"/>
              <w:right w:w="0" w:type="dxa"/>
            </w:tcMar>
            <w:vAlign w:val="bottom"/>
          </w:tcPr>
          <w:p w14:paraId="14C92D51" w14:textId="77777777" w:rsidR="0062640D" w:rsidRDefault="00C12A80">
            <w:pPr>
              <w:pStyle w:val="Table-Headings"/>
            </w:pPr>
            <w:r>
              <w:t>March 2024</w:t>
            </w:r>
          </w:p>
        </w:tc>
        <w:tc>
          <w:tcPr>
            <w:tcW w:w="1133" w:type="dxa"/>
            <w:tcBorders>
              <w:top w:val="nil"/>
              <w:left w:val="nil"/>
              <w:bottom w:val="single" w:sz="6" w:space="0" w:color="FF777C"/>
              <w:right w:val="nil"/>
            </w:tcBorders>
            <w:tcMar>
              <w:top w:w="56" w:type="dxa"/>
              <w:left w:w="0" w:type="dxa"/>
              <w:bottom w:w="56" w:type="dxa"/>
              <w:right w:w="0" w:type="dxa"/>
            </w:tcMar>
            <w:vAlign w:val="bottom"/>
          </w:tcPr>
          <w:p w14:paraId="04DC3021" w14:textId="77777777" w:rsidR="0062640D" w:rsidRDefault="00C12A80">
            <w:pPr>
              <w:pStyle w:val="Table-Headings"/>
            </w:pPr>
            <w:r>
              <w:t>March 2023</w:t>
            </w:r>
          </w:p>
        </w:tc>
        <w:tc>
          <w:tcPr>
            <w:tcW w:w="1133" w:type="dxa"/>
            <w:tcBorders>
              <w:top w:val="nil"/>
              <w:left w:val="nil"/>
              <w:bottom w:val="single" w:sz="6" w:space="0" w:color="FF777C"/>
              <w:right w:val="none" w:sz="8" w:space="0" w:color="auto"/>
            </w:tcBorders>
            <w:tcMar>
              <w:top w:w="45" w:type="dxa"/>
              <w:left w:w="0" w:type="dxa"/>
              <w:bottom w:w="56" w:type="dxa"/>
              <w:right w:w="0" w:type="dxa"/>
            </w:tcMar>
            <w:vAlign w:val="bottom"/>
          </w:tcPr>
          <w:p w14:paraId="0E2F2235" w14:textId="77777777" w:rsidR="0062640D" w:rsidRDefault="00C12A80">
            <w:pPr>
              <w:pStyle w:val="Table-Headings"/>
            </w:pPr>
            <w:r>
              <w:t>March 2022</w:t>
            </w:r>
          </w:p>
        </w:tc>
      </w:tr>
      <w:tr w:rsidR="0062640D" w14:paraId="06776B21" w14:textId="77777777">
        <w:tc>
          <w:tcPr>
            <w:tcW w:w="6521" w:type="dxa"/>
            <w:tcBorders>
              <w:top w:val="single" w:sz="6" w:space="0" w:color="FF777C"/>
              <w:left w:val="nil"/>
              <w:bottom w:val="nil"/>
              <w:right w:val="nil"/>
            </w:tcBorders>
            <w:tcMar>
              <w:top w:w="56" w:type="dxa"/>
              <w:left w:w="0" w:type="dxa"/>
              <w:bottom w:w="85" w:type="dxa"/>
              <w:right w:w="0" w:type="dxa"/>
            </w:tcMar>
            <w:vAlign w:val="bottom"/>
          </w:tcPr>
          <w:p w14:paraId="4D3093B8" w14:textId="77777777" w:rsidR="0062640D" w:rsidRDefault="00C12A80">
            <w:r>
              <w:t>Fair value at grant date for TSR-based awards</w:t>
            </w:r>
          </w:p>
        </w:tc>
        <w:tc>
          <w:tcPr>
            <w:tcW w:w="1303" w:type="dxa"/>
            <w:tcBorders>
              <w:top w:val="single" w:sz="6" w:space="0" w:color="FF777C"/>
              <w:left w:val="nil"/>
              <w:bottom w:val="nil"/>
              <w:right w:val="nil"/>
            </w:tcBorders>
            <w:tcMar>
              <w:top w:w="56" w:type="dxa"/>
              <w:left w:w="0" w:type="dxa"/>
              <w:bottom w:w="85" w:type="dxa"/>
              <w:right w:w="0" w:type="dxa"/>
            </w:tcMar>
            <w:vAlign w:val="bottom"/>
          </w:tcPr>
          <w:p w14:paraId="5B9FE165" w14:textId="77777777" w:rsidR="0062640D" w:rsidRDefault="00C12A80">
            <w:pPr>
              <w:pStyle w:val="AccountsBold"/>
            </w:pPr>
            <w:r>
              <w:t>€2.33</w:t>
            </w:r>
          </w:p>
        </w:tc>
        <w:tc>
          <w:tcPr>
            <w:tcW w:w="1133" w:type="dxa"/>
            <w:tcBorders>
              <w:top w:val="single" w:sz="6" w:space="0" w:color="FF777C"/>
              <w:left w:val="nil"/>
              <w:bottom w:val="nil"/>
              <w:right w:val="nil"/>
            </w:tcBorders>
            <w:tcMar>
              <w:top w:w="56" w:type="dxa"/>
              <w:left w:w="0" w:type="dxa"/>
              <w:bottom w:w="85" w:type="dxa"/>
              <w:right w:w="0" w:type="dxa"/>
            </w:tcMar>
            <w:vAlign w:val="bottom"/>
          </w:tcPr>
          <w:p w14:paraId="1F96BA95" w14:textId="77777777" w:rsidR="0062640D" w:rsidRDefault="00C12A80">
            <w:pPr>
              <w:pStyle w:val="Accounts"/>
            </w:pPr>
            <w:r>
              <w:t>€2.93</w:t>
            </w:r>
          </w:p>
        </w:tc>
        <w:tc>
          <w:tcPr>
            <w:tcW w:w="1133" w:type="dxa"/>
            <w:tcBorders>
              <w:top w:val="single" w:sz="6" w:space="0" w:color="FF777C"/>
              <w:left w:val="nil"/>
              <w:bottom w:val="nil"/>
              <w:right w:val="none" w:sz="8" w:space="0" w:color="auto"/>
            </w:tcBorders>
            <w:tcMar>
              <w:top w:w="56" w:type="dxa"/>
              <w:left w:w="0" w:type="dxa"/>
              <w:bottom w:w="85" w:type="dxa"/>
              <w:right w:w="0" w:type="dxa"/>
            </w:tcMar>
            <w:vAlign w:val="bottom"/>
          </w:tcPr>
          <w:p w14:paraId="7480A644" w14:textId="77777777" w:rsidR="0062640D" w:rsidRDefault="00C12A80">
            <w:pPr>
              <w:pStyle w:val="Accounts"/>
            </w:pPr>
            <w:r>
              <w:t>€2.60</w:t>
            </w:r>
          </w:p>
        </w:tc>
      </w:tr>
      <w:tr w:rsidR="0062640D" w14:paraId="220AA9DB" w14:textId="77777777">
        <w:tc>
          <w:tcPr>
            <w:tcW w:w="6521" w:type="dxa"/>
            <w:tcBorders>
              <w:top w:val="nil"/>
              <w:left w:val="nil"/>
              <w:bottom w:val="nil"/>
              <w:right w:val="nil"/>
            </w:tcBorders>
            <w:tcMar>
              <w:top w:w="56" w:type="dxa"/>
              <w:left w:w="0" w:type="dxa"/>
              <w:bottom w:w="85" w:type="dxa"/>
              <w:right w:w="0" w:type="dxa"/>
            </w:tcMar>
            <w:vAlign w:val="bottom"/>
          </w:tcPr>
          <w:p w14:paraId="2E557E2C" w14:textId="77777777" w:rsidR="0062640D" w:rsidRDefault="00C12A80">
            <w:r>
              <w:t>Fair value at grant date for FCPS-based awards</w:t>
            </w:r>
          </w:p>
        </w:tc>
        <w:tc>
          <w:tcPr>
            <w:tcW w:w="1303" w:type="dxa"/>
            <w:tcBorders>
              <w:top w:val="nil"/>
              <w:left w:val="nil"/>
              <w:bottom w:val="nil"/>
              <w:right w:val="nil"/>
            </w:tcBorders>
            <w:tcMar>
              <w:top w:w="56" w:type="dxa"/>
              <w:left w:w="0" w:type="dxa"/>
              <w:bottom w:w="85" w:type="dxa"/>
              <w:right w:w="0" w:type="dxa"/>
            </w:tcMar>
            <w:vAlign w:val="bottom"/>
          </w:tcPr>
          <w:p w14:paraId="20D625C5" w14:textId="77777777" w:rsidR="0062640D" w:rsidRDefault="00C12A80">
            <w:pPr>
              <w:pStyle w:val="AccountsBold"/>
            </w:pPr>
            <w:r>
              <w:t>€4.50</w:t>
            </w:r>
          </w:p>
        </w:tc>
        <w:tc>
          <w:tcPr>
            <w:tcW w:w="1133" w:type="dxa"/>
            <w:tcBorders>
              <w:top w:val="nil"/>
              <w:left w:val="nil"/>
              <w:bottom w:val="nil"/>
              <w:right w:val="nil"/>
            </w:tcBorders>
            <w:tcMar>
              <w:top w:w="56" w:type="dxa"/>
              <w:left w:w="0" w:type="dxa"/>
              <w:bottom w:w="85" w:type="dxa"/>
              <w:right w:w="0" w:type="dxa"/>
            </w:tcMar>
            <w:vAlign w:val="bottom"/>
          </w:tcPr>
          <w:p w14:paraId="5273AA7E" w14:textId="0E2D1948" w:rsidR="0062640D" w:rsidRDefault="00C12A80">
            <w:pPr>
              <w:pStyle w:val="Accounts"/>
            </w:pPr>
            <w:r>
              <w:t>€4.</w:t>
            </w:r>
            <w:r w:rsidR="005E72B0">
              <w:t>29</w:t>
            </w:r>
          </w:p>
        </w:tc>
        <w:tc>
          <w:tcPr>
            <w:tcW w:w="1133" w:type="dxa"/>
            <w:tcBorders>
              <w:top w:val="nil"/>
              <w:left w:val="nil"/>
              <w:bottom w:val="nil"/>
              <w:right w:val="nil"/>
            </w:tcBorders>
            <w:tcMar>
              <w:top w:w="56" w:type="dxa"/>
              <w:left w:w="0" w:type="dxa"/>
              <w:bottom w:w="85" w:type="dxa"/>
              <w:right w:w="0" w:type="dxa"/>
            </w:tcMar>
            <w:vAlign w:val="bottom"/>
          </w:tcPr>
          <w:p w14:paraId="3A6078E5" w14:textId="77777777" w:rsidR="0062640D" w:rsidRDefault="00C12A80">
            <w:pPr>
              <w:pStyle w:val="Accounts"/>
            </w:pPr>
            <w:r>
              <w:t>€3.89</w:t>
            </w:r>
          </w:p>
        </w:tc>
      </w:tr>
      <w:tr w:rsidR="0062640D" w14:paraId="59C492D8" w14:textId="77777777">
        <w:tc>
          <w:tcPr>
            <w:tcW w:w="6521" w:type="dxa"/>
            <w:tcBorders>
              <w:top w:val="nil"/>
              <w:left w:val="nil"/>
              <w:bottom w:val="nil"/>
              <w:right w:val="nil"/>
            </w:tcBorders>
            <w:tcMar>
              <w:top w:w="56" w:type="dxa"/>
              <w:left w:w="0" w:type="dxa"/>
              <w:bottom w:w="85" w:type="dxa"/>
              <w:right w:w="0" w:type="dxa"/>
            </w:tcMar>
            <w:vAlign w:val="bottom"/>
          </w:tcPr>
          <w:p w14:paraId="0E230709" w14:textId="77777777" w:rsidR="0062640D" w:rsidRDefault="00C12A80">
            <w:r>
              <w:t>Share price at grant date</w:t>
            </w:r>
          </w:p>
        </w:tc>
        <w:tc>
          <w:tcPr>
            <w:tcW w:w="1303" w:type="dxa"/>
            <w:tcBorders>
              <w:top w:val="nil"/>
              <w:left w:val="nil"/>
              <w:bottom w:val="nil"/>
              <w:right w:val="nil"/>
            </w:tcBorders>
            <w:tcMar>
              <w:top w:w="56" w:type="dxa"/>
              <w:left w:w="0" w:type="dxa"/>
              <w:bottom w:w="85" w:type="dxa"/>
              <w:right w:w="0" w:type="dxa"/>
            </w:tcMar>
            <w:vAlign w:val="bottom"/>
          </w:tcPr>
          <w:p w14:paraId="70D19AE4" w14:textId="77777777" w:rsidR="0062640D" w:rsidRDefault="00C12A80">
            <w:pPr>
              <w:pStyle w:val="AccountsBold"/>
            </w:pPr>
            <w:r>
              <w:t>€4.51</w:t>
            </w:r>
          </w:p>
        </w:tc>
        <w:tc>
          <w:tcPr>
            <w:tcW w:w="1133" w:type="dxa"/>
            <w:tcBorders>
              <w:top w:val="nil"/>
              <w:left w:val="nil"/>
              <w:bottom w:val="nil"/>
              <w:right w:val="nil"/>
            </w:tcBorders>
            <w:tcMar>
              <w:top w:w="56" w:type="dxa"/>
              <w:left w:w="0" w:type="dxa"/>
              <w:bottom w:w="85" w:type="dxa"/>
              <w:right w:w="0" w:type="dxa"/>
            </w:tcMar>
            <w:vAlign w:val="bottom"/>
          </w:tcPr>
          <w:p w14:paraId="343006A1" w14:textId="77777777" w:rsidR="0062640D" w:rsidRDefault="00C12A80">
            <w:pPr>
              <w:pStyle w:val="Accounts"/>
            </w:pPr>
            <w:r>
              <w:t>€4.30</w:t>
            </w:r>
          </w:p>
        </w:tc>
        <w:tc>
          <w:tcPr>
            <w:tcW w:w="1133" w:type="dxa"/>
            <w:tcBorders>
              <w:top w:val="nil"/>
              <w:left w:val="nil"/>
              <w:bottom w:val="nil"/>
              <w:right w:val="none" w:sz="8" w:space="0" w:color="auto"/>
            </w:tcBorders>
            <w:tcMar>
              <w:top w:w="56" w:type="dxa"/>
              <w:left w:w="0" w:type="dxa"/>
              <w:bottom w:w="85" w:type="dxa"/>
              <w:right w:w="0" w:type="dxa"/>
            </w:tcMar>
            <w:vAlign w:val="bottom"/>
          </w:tcPr>
          <w:p w14:paraId="317B143F" w14:textId="77777777" w:rsidR="0062640D" w:rsidRDefault="00C12A80">
            <w:pPr>
              <w:pStyle w:val="Accounts"/>
            </w:pPr>
            <w:r>
              <w:t>€3.90</w:t>
            </w:r>
          </w:p>
        </w:tc>
      </w:tr>
      <w:tr w:rsidR="0062640D" w14:paraId="1B890F0F" w14:textId="77777777">
        <w:tc>
          <w:tcPr>
            <w:tcW w:w="6521" w:type="dxa"/>
            <w:tcBorders>
              <w:top w:val="nil"/>
              <w:left w:val="none" w:sz="8" w:space="0" w:color="auto"/>
              <w:bottom w:val="none" w:sz="8" w:space="0" w:color="auto"/>
              <w:right w:val="none" w:sz="8" w:space="0" w:color="auto"/>
            </w:tcBorders>
            <w:tcMar>
              <w:top w:w="56" w:type="dxa"/>
              <w:left w:w="0" w:type="dxa"/>
              <w:bottom w:w="85" w:type="dxa"/>
              <w:right w:w="0" w:type="dxa"/>
            </w:tcMar>
            <w:vAlign w:val="bottom"/>
          </w:tcPr>
          <w:p w14:paraId="65426021" w14:textId="77777777" w:rsidR="0062640D" w:rsidRDefault="00C12A80">
            <w:r>
              <w:t>Exercise price</w:t>
            </w:r>
          </w:p>
        </w:tc>
        <w:tc>
          <w:tcPr>
            <w:tcW w:w="1303" w:type="dxa"/>
            <w:tcBorders>
              <w:top w:val="nil"/>
              <w:left w:val="none" w:sz="8" w:space="0" w:color="auto"/>
              <w:bottom w:val="none" w:sz="8" w:space="0" w:color="auto"/>
              <w:right w:val="none" w:sz="8" w:space="0" w:color="auto"/>
            </w:tcBorders>
            <w:tcMar>
              <w:top w:w="56" w:type="dxa"/>
              <w:left w:w="0" w:type="dxa"/>
              <w:bottom w:w="85" w:type="dxa"/>
              <w:right w:w="0" w:type="dxa"/>
            </w:tcMar>
            <w:vAlign w:val="bottom"/>
          </w:tcPr>
          <w:p w14:paraId="3E6EAEE6" w14:textId="77777777" w:rsidR="0062640D" w:rsidRDefault="00C12A80">
            <w:pPr>
              <w:pStyle w:val="AccountsBold"/>
            </w:pPr>
            <w:r>
              <w:t>€0.01</w:t>
            </w:r>
          </w:p>
        </w:tc>
        <w:tc>
          <w:tcPr>
            <w:tcW w:w="1133" w:type="dxa"/>
            <w:tcBorders>
              <w:top w:val="nil"/>
              <w:left w:val="none" w:sz="8" w:space="0" w:color="auto"/>
              <w:bottom w:val="none" w:sz="8" w:space="0" w:color="auto"/>
              <w:right w:val="none" w:sz="8" w:space="0" w:color="auto"/>
            </w:tcBorders>
            <w:tcMar>
              <w:top w:w="56" w:type="dxa"/>
              <w:left w:w="0" w:type="dxa"/>
              <w:bottom w:w="85" w:type="dxa"/>
              <w:right w:w="0" w:type="dxa"/>
            </w:tcMar>
            <w:vAlign w:val="bottom"/>
          </w:tcPr>
          <w:p w14:paraId="37389063" w14:textId="77777777" w:rsidR="0062640D" w:rsidRDefault="00C12A80">
            <w:pPr>
              <w:pStyle w:val="Accounts"/>
            </w:pPr>
            <w:r>
              <w:t>€0.01</w:t>
            </w:r>
          </w:p>
        </w:tc>
        <w:tc>
          <w:tcPr>
            <w:tcW w:w="1133" w:type="dxa"/>
            <w:tcBorders>
              <w:top w:val="nil"/>
              <w:left w:val="none" w:sz="8" w:space="0" w:color="auto"/>
              <w:bottom w:val="none" w:sz="8" w:space="0" w:color="auto"/>
              <w:right w:val="none" w:sz="8" w:space="0" w:color="auto"/>
            </w:tcBorders>
            <w:tcMar>
              <w:top w:w="56" w:type="dxa"/>
              <w:left w:w="0" w:type="dxa"/>
              <w:bottom w:w="85" w:type="dxa"/>
              <w:right w:w="0" w:type="dxa"/>
            </w:tcMar>
            <w:vAlign w:val="bottom"/>
          </w:tcPr>
          <w:p w14:paraId="1007EFD9" w14:textId="77777777" w:rsidR="0062640D" w:rsidRDefault="00C12A80">
            <w:pPr>
              <w:pStyle w:val="Accounts"/>
            </w:pPr>
            <w:r>
              <w:t>€0.01</w:t>
            </w:r>
          </w:p>
        </w:tc>
      </w:tr>
      <w:tr w:rsidR="0062640D" w14:paraId="507AEC5A" w14:textId="77777777">
        <w:tc>
          <w:tcPr>
            <w:tcW w:w="6521"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741360E7" w14:textId="77777777" w:rsidR="0062640D" w:rsidRDefault="00C12A80">
            <w:r>
              <w:t>Expected volatility for TSR-based awards</w:t>
            </w:r>
          </w:p>
        </w:tc>
        <w:tc>
          <w:tcPr>
            <w:tcW w:w="130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26796F70" w14:textId="77777777" w:rsidR="0062640D" w:rsidRDefault="00C12A80">
            <w:pPr>
              <w:pStyle w:val="AccountsBold"/>
            </w:pPr>
            <w:r>
              <w:t>35.04% p.a.</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BB4D65C" w14:textId="77777777" w:rsidR="0062640D" w:rsidRDefault="00C12A80">
            <w:pPr>
              <w:pStyle w:val="Accounts"/>
            </w:pPr>
            <w:r>
              <w:t>54.83% p.a.</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03904385" w14:textId="77777777" w:rsidR="0062640D" w:rsidRDefault="00C12A80">
            <w:pPr>
              <w:pStyle w:val="Accounts"/>
            </w:pPr>
            <w:r>
              <w:t>53.0% p.a.</w:t>
            </w:r>
          </w:p>
        </w:tc>
      </w:tr>
      <w:tr w:rsidR="0062640D" w14:paraId="6093FA8B" w14:textId="77777777">
        <w:tc>
          <w:tcPr>
            <w:tcW w:w="6521"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6CA2AE4" w14:textId="77777777" w:rsidR="0062640D" w:rsidRDefault="00C12A80">
            <w:r>
              <w:t>Performance period</w:t>
            </w:r>
          </w:p>
        </w:tc>
        <w:tc>
          <w:tcPr>
            <w:tcW w:w="130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64DC1969" w14:textId="77777777" w:rsidR="0062640D" w:rsidRDefault="00C12A80">
            <w:pPr>
              <w:pStyle w:val="AccountsBold"/>
            </w:pPr>
            <w:r>
              <w:t xml:space="preserve">3 years </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6AC7ADE7" w14:textId="77777777" w:rsidR="0062640D" w:rsidRDefault="00C12A80">
            <w:pPr>
              <w:pStyle w:val="Accounts"/>
            </w:pPr>
            <w:r>
              <w:t>3 years</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0967722E" w14:textId="77777777" w:rsidR="0062640D" w:rsidRDefault="00C12A80">
            <w:pPr>
              <w:pStyle w:val="Accounts"/>
            </w:pPr>
            <w:r>
              <w:t>3 years</w:t>
            </w:r>
          </w:p>
        </w:tc>
      </w:tr>
      <w:tr w:rsidR="0062640D" w14:paraId="4BDE92FC" w14:textId="77777777">
        <w:tc>
          <w:tcPr>
            <w:tcW w:w="6521" w:type="dxa"/>
            <w:tcBorders>
              <w:top w:val="none" w:sz="8" w:space="0" w:color="auto"/>
              <w:left w:val="none" w:sz="8" w:space="0" w:color="auto"/>
              <w:bottom w:val="single" w:sz="6" w:space="0" w:color="FF777C"/>
              <w:right w:val="none" w:sz="8" w:space="0" w:color="auto"/>
            </w:tcBorders>
            <w:tcMar>
              <w:top w:w="56" w:type="dxa"/>
              <w:left w:w="0" w:type="dxa"/>
              <w:bottom w:w="85" w:type="dxa"/>
              <w:right w:w="0" w:type="dxa"/>
            </w:tcMar>
            <w:vAlign w:val="bottom"/>
          </w:tcPr>
          <w:p w14:paraId="27FF8A4D" w14:textId="77777777" w:rsidR="0062640D" w:rsidRDefault="00C12A80">
            <w:r>
              <w:t>Risk-free rate</w:t>
            </w:r>
          </w:p>
        </w:tc>
        <w:tc>
          <w:tcPr>
            <w:tcW w:w="1303" w:type="dxa"/>
            <w:tcBorders>
              <w:top w:val="none" w:sz="8" w:space="0" w:color="auto"/>
              <w:left w:val="none" w:sz="8" w:space="0" w:color="auto"/>
              <w:bottom w:val="single" w:sz="6" w:space="0" w:color="FF777C"/>
              <w:right w:val="none" w:sz="8" w:space="0" w:color="auto"/>
            </w:tcBorders>
            <w:tcMar>
              <w:top w:w="56" w:type="dxa"/>
              <w:left w:w="0" w:type="dxa"/>
              <w:bottom w:w="85" w:type="dxa"/>
              <w:right w:w="0" w:type="dxa"/>
            </w:tcMar>
            <w:vAlign w:val="bottom"/>
          </w:tcPr>
          <w:p w14:paraId="116983B8" w14:textId="77777777" w:rsidR="0062640D" w:rsidRDefault="00C12A80">
            <w:pPr>
              <w:pStyle w:val="AccountsBold"/>
            </w:pPr>
            <w:r>
              <w:t>2.61%</w:t>
            </w:r>
          </w:p>
        </w:tc>
        <w:tc>
          <w:tcPr>
            <w:tcW w:w="1133" w:type="dxa"/>
            <w:tcBorders>
              <w:top w:val="none" w:sz="8" w:space="0" w:color="auto"/>
              <w:left w:val="none" w:sz="8" w:space="0" w:color="auto"/>
              <w:bottom w:val="single" w:sz="6" w:space="0" w:color="FF777C"/>
              <w:right w:val="none" w:sz="8" w:space="0" w:color="auto"/>
            </w:tcBorders>
            <w:tcMar>
              <w:top w:w="56" w:type="dxa"/>
              <w:left w:w="0" w:type="dxa"/>
              <w:bottom w:w="85" w:type="dxa"/>
              <w:right w:w="0" w:type="dxa"/>
            </w:tcMar>
            <w:vAlign w:val="bottom"/>
          </w:tcPr>
          <w:p w14:paraId="17EED1DC" w14:textId="77777777" w:rsidR="0062640D" w:rsidRDefault="00C12A80">
            <w:pPr>
              <w:pStyle w:val="Accounts"/>
            </w:pPr>
            <w:r>
              <w:t>2.78%</w:t>
            </w:r>
          </w:p>
        </w:tc>
        <w:tc>
          <w:tcPr>
            <w:tcW w:w="1133" w:type="dxa"/>
            <w:tcBorders>
              <w:top w:val="none" w:sz="8" w:space="0" w:color="auto"/>
              <w:left w:val="none" w:sz="8" w:space="0" w:color="auto"/>
              <w:bottom w:val="single" w:sz="6" w:space="0" w:color="FF777C"/>
              <w:right w:val="none" w:sz="8" w:space="0" w:color="auto"/>
            </w:tcBorders>
            <w:tcMar>
              <w:top w:w="56" w:type="dxa"/>
              <w:left w:w="0" w:type="dxa"/>
              <w:bottom w:w="85" w:type="dxa"/>
              <w:right w:w="0" w:type="dxa"/>
            </w:tcMar>
            <w:vAlign w:val="bottom"/>
          </w:tcPr>
          <w:p w14:paraId="3FF59840" w14:textId="77777777" w:rsidR="0062640D" w:rsidRDefault="00C12A80">
            <w:pPr>
              <w:pStyle w:val="Accounts-Bracket"/>
            </w:pPr>
            <w:r>
              <w:t>(0.31%)</w:t>
            </w:r>
          </w:p>
        </w:tc>
      </w:tr>
    </w:tbl>
    <w:p w14:paraId="34B9AF2E" w14:textId="77777777" w:rsidR="0062640D" w:rsidRDefault="0062640D"/>
    <w:p w14:paraId="52824530" w14:textId="77777777" w:rsidR="0062640D" w:rsidRDefault="00C12A80">
      <w:r>
        <w:t>Dividend equivalents accrue on awards that vest up to the time of vesting under the LTIP schemes, and therefore the dividend yield has been set to zero to reflect this. Such dividend equivalents will be released to participants in the form of additional shares on vesting subject to the satisfaction of performance criteria. In the absence of available market-implied and observable volatility, the expected volatility has been estimated based on the historic share price over a three-year period.</w:t>
      </w:r>
    </w:p>
    <w:p w14:paraId="6AA5153B" w14:textId="77777777" w:rsidR="0062640D" w:rsidRDefault="0062640D"/>
    <w:p w14:paraId="5A2C6D9F" w14:textId="77777777" w:rsidR="0062640D" w:rsidRDefault="00C12A80">
      <w:r>
        <w:t xml:space="preserve">All active awards include FCPS-related performance conditions which are non-market-based performance conditions that do not impact the fair value of the award at the grant date, which equals the share price less exercise price. Instead, an estimate is made by the Group as to the number of shares which are expected to vest based on satisfaction of the FCPS-related performance condition, where applicable, and this, together with the fair value of the award at grant date, determines the accounting charge to be spread over the vesting period. The estimate of the number of shares which are expected to vest over the vesting period of the award is reviewed in each reporting period and the accounting charge is adjusted accordingly. </w:t>
      </w:r>
    </w:p>
    <w:p w14:paraId="757649E5" w14:textId="77777777" w:rsidR="0062640D" w:rsidRDefault="0062640D"/>
    <w:p w14:paraId="55FDCDED" w14:textId="77777777" w:rsidR="0062640D" w:rsidRDefault="00C12A80">
      <w:pPr>
        <w:pStyle w:val="Heading-2"/>
      </w:pPr>
      <w:r>
        <w:t>Share Save schemes</w:t>
      </w:r>
    </w:p>
    <w:p w14:paraId="251D4BBA" w14:textId="77777777" w:rsidR="005E72B0" w:rsidRPr="006B0F6B" w:rsidRDefault="005E72B0" w:rsidP="005E72B0">
      <w:r w:rsidRPr="006B0F6B">
        <w:t>The Remuneration Committee of the Board of Directors approved the granting of share options under the UK and Ireland Share Save schemes (the ‘Schemes’) for all eligible employees across the Group from 201</w:t>
      </w:r>
      <w:r>
        <w:t>9</w:t>
      </w:r>
      <w:r w:rsidRPr="006B0F6B">
        <w:t xml:space="preserve"> to 2024. Each Scheme is for three years and employees may choose to purchase shares over the </w:t>
      </w:r>
      <w:proofErr w:type="gramStart"/>
      <w:r w:rsidRPr="006B0F6B">
        <w:t>six month</w:t>
      </w:r>
      <w:proofErr w:type="gramEnd"/>
      <w:r w:rsidRPr="006B0F6B">
        <w:t xml:space="preserve"> period following the end of the three year period at the fixed discounted price set at the start of the three year period. </w:t>
      </w:r>
    </w:p>
    <w:p w14:paraId="6FEED32B" w14:textId="77777777" w:rsidR="005E72B0" w:rsidRPr="006B0F6B" w:rsidRDefault="005E72B0" w:rsidP="005E72B0"/>
    <w:p w14:paraId="38280618" w14:textId="77777777" w:rsidR="005E72B0" w:rsidRPr="006B0F6B" w:rsidRDefault="005E72B0" w:rsidP="005E72B0">
      <w:r w:rsidRPr="006B0F6B">
        <w:t>During the year ended 31 December 2024, two new schemes were granted to ROI and UK employees (no new schemes granted in 2023). 535 employees availed of the ROI Scheme and 259 employees availed of the UK scheme. The share price for the schemes has been set at a 25% discount for Republic of Ireland based employees and 20% for UK based employees in line with the maximum amount permitted under tax legislation in both jurisdictions.</w:t>
      </w:r>
    </w:p>
    <w:p w14:paraId="727E88BA" w14:textId="77777777" w:rsidR="005E72B0" w:rsidRPr="006B0F6B" w:rsidRDefault="005E72B0" w:rsidP="005E72B0"/>
    <w:p w14:paraId="7B5048BE" w14:textId="710D3CED" w:rsidR="005E72B0" w:rsidRPr="006B0F6B" w:rsidRDefault="005E72B0" w:rsidP="005E72B0">
      <w:r w:rsidRPr="006B0F6B">
        <w:t>During the year ended 31 December 2024, 2,000 ordinary shares were exercised on maturity of the share options granted as part of the Share Save scheme in 2019. There were also 1,260,587 options exercised on maturity of the share options granted as part of the Share Save scheme in 2020. The weighted average exercise price for options exercised during the year ended 31 December 2024 was €2.</w:t>
      </w:r>
      <w:r w:rsidR="005171DD">
        <w:t>35</w:t>
      </w:r>
      <w:r w:rsidRPr="006B0F6B">
        <w:t>.</w:t>
      </w:r>
    </w:p>
    <w:p w14:paraId="5203A6EB" w14:textId="77777777" w:rsidR="005E72B0" w:rsidRPr="006B0F6B" w:rsidRDefault="005E72B0" w:rsidP="005E72B0"/>
    <w:p w14:paraId="712775FC" w14:textId="77777777" w:rsidR="005E72B0" w:rsidRPr="006B0F6B" w:rsidRDefault="005E72B0" w:rsidP="005E72B0">
      <w:r w:rsidRPr="006B0F6B">
        <w:t>Movements in the number of share options and the related weighted average exercise price (‘WAEP’) are as follows:</w:t>
      </w:r>
    </w:p>
    <w:p w14:paraId="2733910A" w14:textId="77777777" w:rsidR="0062640D" w:rsidRDefault="0062640D"/>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5555"/>
        <w:gridCol w:w="1133"/>
        <w:gridCol w:w="1133"/>
        <w:gridCol w:w="1133"/>
        <w:gridCol w:w="1133"/>
      </w:tblGrid>
      <w:tr w:rsidR="0062640D" w14:paraId="59FA3250" w14:textId="77777777">
        <w:tc>
          <w:tcPr>
            <w:tcW w:w="5555" w:type="dxa"/>
            <w:tcBorders>
              <w:top w:val="nil"/>
              <w:left w:val="nil"/>
              <w:bottom w:val="nil"/>
              <w:right w:val="nil"/>
            </w:tcBorders>
            <w:tcMar>
              <w:top w:w="45" w:type="dxa"/>
              <w:left w:w="0" w:type="dxa"/>
              <w:bottom w:w="0" w:type="dxa"/>
              <w:right w:w="0" w:type="dxa"/>
            </w:tcMar>
            <w:vAlign w:val="bottom"/>
          </w:tcPr>
          <w:p w14:paraId="0050008F" w14:textId="77777777" w:rsidR="0062640D" w:rsidRDefault="0062640D"/>
        </w:tc>
        <w:tc>
          <w:tcPr>
            <w:tcW w:w="2266" w:type="dxa"/>
            <w:gridSpan w:val="2"/>
            <w:tcBorders>
              <w:top w:val="nil"/>
              <w:left w:val="nil"/>
              <w:bottom w:val="nil"/>
              <w:right w:val="nil"/>
            </w:tcBorders>
            <w:tcMar>
              <w:top w:w="45" w:type="dxa"/>
              <w:left w:w="0" w:type="dxa"/>
              <w:bottom w:w="0" w:type="dxa"/>
              <w:right w:w="0" w:type="dxa"/>
            </w:tcMar>
            <w:vAlign w:val="bottom"/>
          </w:tcPr>
          <w:p w14:paraId="18320BD9" w14:textId="77777777" w:rsidR="0062640D" w:rsidRDefault="00C12A80">
            <w:pPr>
              <w:pStyle w:val="Table-Headings"/>
              <w:jc w:val="center"/>
            </w:pPr>
            <w:r>
              <w:t>2024</w:t>
            </w:r>
          </w:p>
        </w:tc>
        <w:tc>
          <w:tcPr>
            <w:tcW w:w="2266" w:type="dxa"/>
            <w:gridSpan w:val="2"/>
            <w:tcBorders>
              <w:top w:val="nil"/>
              <w:left w:val="nil"/>
              <w:bottom w:val="nil"/>
              <w:right w:val="nil"/>
            </w:tcBorders>
            <w:tcMar>
              <w:top w:w="45" w:type="dxa"/>
              <w:left w:w="0" w:type="dxa"/>
              <w:bottom w:w="0" w:type="dxa"/>
              <w:right w:w="0" w:type="dxa"/>
            </w:tcMar>
            <w:vAlign w:val="bottom"/>
          </w:tcPr>
          <w:p w14:paraId="52FD4984" w14:textId="77777777" w:rsidR="0062640D" w:rsidRDefault="00C12A80">
            <w:pPr>
              <w:pStyle w:val="Table-Headings"/>
              <w:jc w:val="center"/>
            </w:pPr>
            <w:r>
              <w:t>2023</w:t>
            </w:r>
          </w:p>
        </w:tc>
      </w:tr>
      <w:tr w:rsidR="0062640D" w14:paraId="7B3A60BC" w14:textId="77777777">
        <w:tc>
          <w:tcPr>
            <w:tcW w:w="5555" w:type="dxa"/>
            <w:tcBorders>
              <w:top w:val="nil"/>
              <w:left w:val="nil"/>
              <w:bottom w:val="single" w:sz="6" w:space="0" w:color="FF777C"/>
              <w:right w:val="nil"/>
            </w:tcBorders>
            <w:tcMar>
              <w:top w:w="45" w:type="dxa"/>
              <w:left w:w="0" w:type="dxa"/>
              <w:bottom w:w="56" w:type="dxa"/>
              <w:right w:w="0" w:type="dxa"/>
            </w:tcMar>
            <w:vAlign w:val="bottom"/>
          </w:tcPr>
          <w:p w14:paraId="6E68FF8D" w14:textId="77777777" w:rsidR="0062640D" w:rsidRDefault="0062640D"/>
        </w:tc>
        <w:tc>
          <w:tcPr>
            <w:tcW w:w="1133" w:type="dxa"/>
            <w:tcBorders>
              <w:top w:val="nil"/>
              <w:left w:val="nil"/>
              <w:bottom w:val="single" w:sz="6" w:space="0" w:color="FF777C"/>
              <w:right w:val="nil"/>
            </w:tcBorders>
            <w:tcMar>
              <w:top w:w="45" w:type="dxa"/>
              <w:left w:w="0" w:type="dxa"/>
              <w:bottom w:w="56" w:type="dxa"/>
              <w:right w:w="0" w:type="dxa"/>
            </w:tcMar>
            <w:vAlign w:val="bottom"/>
          </w:tcPr>
          <w:p w14:paraId="4D20B1EB" w14:textId="77777777" w:rsidR="0062640D" w:rsidRDefault="00C12A80">
            <w:pPr>
              <w:pStyle w:val="Table-Headings"/>
            </w:pPr>
            <w:r>
              <w:t>Options</w:t>
            </w:r>
          </w:p>
        </w:tc>
        <w:tc>
          <w:tcPr>
            <w:tcW w:w="1133" w:type="dxa"/>
            <w:tcBorders>
              <w:top w:val="nil"/>
              <w:left w:val="nil"/>
              <w:bottom w:val="single" w:sz="6" w:space="0" w:color="FF777C"/>
              <w:right w:val="nil"/>
            </w:tcBorders>
            <w:tcMar>
              <w:top w:w="45" w:type="dxa"/>
              <w:left w:w="0" w:type="dxa"/>
              <w:bottom w:w="56" w:type="dxa"/>
              <w:right w:w="0" w:type="dxa"/>
            </w:tcMar>
            <w:vAlign w:val="bottom"/>
          </w:tcPr>
          <w:p w14:paraId="7A565B36" w14:textId="77777777" w:rsidR="0062640D" w:rsidRDefault="00C12A80">
            <w:pPr>
              <w:pStyle w:val="Table-Headings"/>
            </w:pPr>
            <w:r>
              <w:t xml:space="preserve">WAEP </w:t>
            </w:r>
          </w:p>
          <w:p w14:paraId="5DF61476" w14:textId="77777777" w:rsidR="0062640D" w:rsidRDefault="00C12A80">
            <w:pPr>
              <w:pStyle w:val="Table-Headings"/>
            </w:pPr>
            <w:r>
              <w:t>€ per share</w:t>
            </w:r>
          </w:p>
        </w:tc>
        <w:tc>
          <w:tcPr>
            <w:tcW w:w="1133" w:type="dxa"/>
            <w:tcBorders>
              <w:top w:val="nil"/>
              <w:left w:val="nil"/>
              <w:bottom w:val="single" w:sz="6" w:space="0" w:color="FF777C"/>
              <w:right w:val="nil"/>
            </w:tcBorders>
            <w:tcMar>
              <w:top w:w="45" w:type="dxa"/>
              <w:left w:w="0" w:type="dxa"/>
              <w:bottom w:w="56" w:type="dxa"/>
              <w:right w:w="0" w:type="dxa"/>
            </w:tcMar>
            <w:vAlign w:val="bottom"/>
          </w:tcPr>
          <w:p w14:paraId="447BD7A5" w14:textId="77777777" w:rsidR="0062640D" w:rsidRDefault="00C12A80">
            <w:pPr>
              <w:pStyle w:val="Table-Headings"/>
            </w:pPr>
            <w:r>
              <w:t>Options</w:t>
            </w:r>
          </w:p>
        </w:tc>
        <w:tc>
          <w:tcPr>
            <w:tcW w:w="1133" w:type="dxa"/>
            <w:tcBorders>
              <w:top w:val="nil"/>
              <w:left w:val="nil"/>
              <w:bottom w:val="single" w:sz="6" w:space="0" w:color="FF777C"/>
              <w:right w:val="nil"/>
            </w:tcBorders>
            <w:tcMar>
              <w:top w:w="45" w:type="dxa"/>
              <w:left w:w="0" w:type="dxa"/>
              <w:bottom w:w="56" w:type="dxa"/>
              <w:right w:w="0" w:type="dxa"/>
            </w:tcMar>
            <w:vAlign w:val="bottom"/>
          </w:tcPr>
          <w:p w14:paraId="5E0CBA8B" w14:textId="77777777" w:rsidR="0062640D" w:rsidRDefault="00C12A80">
            <w:pPr>
              <w:pStyle w:val="Table-Headings"/>
            </w:pPr>
            <w:r>
              <w:t xml:space="preserve">WAEP </w:t>
            </w:r>
          </w:p>
          <w:p w14:paraId="295D4C07" w14:textId="77777777" w:rsidR="0062640D" w:rsidRDefault="00C12A80">
            <w:pPr>
              <w:pStyle w:val="Table-Headings"/>
            </w:pPr>
            <w:r>
              <w:t>€ per share</w:t>
            </w:r>
          </w:p>
        </w:tc>
      </w:tr>
      <w:tr w:rsidR="0062640D" w14:paraId="3A9F35D6" w14:textId="77777777">
        <w:tc>
          <w:tcPr>
            <w:tcW w:w="5555"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099E1558" w14:textId="77777777" w:rsidR="0062640D" w:rsidRDefault="00C12A80">
            <w:r>
              <w:t>Outstanding at the beginning of the year</w:t>
            </w:r>
          </w:p>
        </w:tc>
        <w:tc>
          <w:tcPr>
            <w:tcW w:w="113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10A58CFD" w14:textId="77777777" w:rsidR="0062640D" w:rsidRDefault="00C12A80">
            <w:pPr>
              <w:pStyle w:val="AccountsBold"/>
            </w:pPr>
            <w:r>
              <w:t>1,480,299</w:t>
            </w:r>
          </w:p>
        </w:tc>
        <w:tc>
          <w:tcPr>
            <w:tcW w:w="113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3A1E8C58" w14:textId="77777777" w:rsidR="0062640D" w:rsidRDefault="00C12A80">
            <w:pPr>
              <w:pStyle w:val="AccountsBold"/>
            </w:pPr>
            <w:r>
              <w:t>2.39</w:t>
            </w:r>
          </w:p>
        </w:tc>
        <w:tc>
          <w:tcPr>
            <w:tcW w:w="113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40FADBEB" w14:textId="77777777" w:rsidR="0062640D" w:rsidRDefault="00C12A80">
            <w:pPr>
              <w:pStyle w:val="Accounts"/>
            </w:pPr>
            <w:r>
              <w:t>1,695,307</w:t>
            </w:r>
          </w:p>
        </w:tc>
        <w:tc>
          <w:tcPr>
            <w:tcW w:w="113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72D398F0" w14:textId="77777777" w:rsidR="0062640D" w:rsidRDefault="00C12A80">
            <w:pPr>
              <w:pStyle w:val="Accounts"/>
            </w:pPr>
            <w:r>
              <w:t>2.53</w:t>
            </w:r>
          </w:p>
        </w:tc>
      </w:tr>
      <w:tr w:rsidR="0062640D" w14:paraId="2C32B934" w14:textId="77777777">
        <w:tc>
          <w:tcPr>
            <w:tcW w:w="5555"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08E115F5" w14:textId="77777777" w:rsidR="0062640D" w:rsidRDefault="00C12A80">
            <w:r>
              <w:t>Granted during the year</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3E1408DC" w14:textId="77777777" w:rsidR="0062640D" w:rsidRDefault="00C12A80">
            <w:pPr>
              <w:pStyle w:val="AccountsBold"/>
            </w:pPr>
            <w:r>
              <w:t>2,259,760</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21A4A3E2" w14:textId="77777777" w:rsidR="0062640D" w:rsidRDefault="00C12A80">
            <w:pPr>
              <w:pStyle w:val="AccountsBold"/>
            </w:pPr>
            <w:r>
              <w:t>3.03</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42FE546" w14:textId="77777777" w:rsidR="0062640D" w:rsidRDefault="00C12A80">
            <w:pPr>
              <w:pStyle w:val="Accounts"/>
            </w:pPr>
            <w:r>
              <w:t>-</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7C7B95E7" w14:textId="77777777" w:rsidR="0062640D" w:rsidRDefault="00C12A80">
            <w:pPr>
              <w:pStyle w:val="Accounts"/>
            </w:pPr>
            <w:r>
              <w:t>-</w:t>
            </w:r>
          </w:p>
        </w:tc>
      </w:tr>
      <w:tr w:rsidR="0062640D" w14:paraId="3BC49625" w14:textId="77777777">
        <w:tc>
          <w:tcPr>
            <w:tcW w:w="5555"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30F7C427" w14:textId="77777777" w:rsidR="0062640D" w:rsidRDefault="00C12A80">
            <w:r>
              <w:t>Forfeited during the year</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2C2CD1DA" w14:textId="77777777" w:rsidR="0062640D" w:rsidRDefault="00C12A80">
            <w:pPr>
              <w:pStyle w:val="Account-BracketBold"/>
            </w:pPr>
            <w:r>
              <w:t>(118,199)</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E7B6F30" w14:textId="77777777" w:rsidR="0062640D" w:rsidRDefault="00C12A80">
            <w:pPr>
              <w:pStyle w:val="AccountsBold"/>
            </w:pPr>
            <w:r>
              <w:t>2.73</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706559DA" w14:textId="77777777" w:rsidR="0062640D" w:rsidRDefault="00C12A80">
            <w:pPr>
              <w:pStyle w:val="Accounts-Bracket"/>
            </w:pPr>
            <w:r>
              <w:t>(167,520)</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7B350317" w14:textId="77777777" w:rsidR="0062640D" w:rsidRDefault="00C12A80">
            <w:pPr>
              <w:pStyle w:val="Accounts"/>
            </w:pPr>
            <w:r>
              <w:t>2.78</w:t>
            </w:r>
          </w:p>
        </w:tc>
      </w:tr>
      <w:tr w:rsidR="0062640D" w14:paraId="2B180411" w14:textId="77777777">
        <w:tc>
          <w:tcPr>
            <w:tcW w:w="5555" w:type="dxa"/>
            <w:tcBorders>
              <w:top w:val="nil"/>
              <w:left w:val="nil"/>
              <w:bottom w:val="single" w:sz="2" w:space="0" w:color="FF777C"/>
              <w:right w:val="nil"/>
            </w:tcBorders>
            <w:tcMar>
              <w:top w:w="56" w:type="dxa"/>
              <w:left w:w="0" w:type="dxa"/>
              <w:bottom w:w="85" w:type="dxa"/>
              <w:right w:w="0" w:type="dxa"/>
            </w:tcMar>
            <w:vAlign w:val="bottom"/>
          </w:tcPr>
          <w:p w14:paraId="7FC0EEF7" w14:textId="77777777" w:rsidR="0062640D" w:rsidRDefault="00C12A80">
            <w:r>
              <w:t xml:space="preserve">Exercised during the year </w:t>
            </w:r>
          </w:p>
        </w:tc>
        <w:tc>
          <w:tcPr>
            <w:tcW w:w="1133" w:type="dxa"/>
            <w:tcBorders>
              <w:top w:val="none" w:sz="8" w:space="0" w:color="auto"/>
              <w:left w:val="nil"/>
              <w:bottom w:val="single" w:sz="2" w:space="0" w:color="FF777C"/>
              <w:right w:val="none" w:sz="8" w:space="0" w:color="auto"/>
            </w:tcBorders>
            <w:tcMar>
              <w:top w:w="56" w:type="dxa"/>
              <w:left w:w="0" w:type="dxa"/>
              <w:bottom w:w="85" w:type="dxa"/>
              <w:right w:w="0" w:type="dxa"/>
            </w:tcMar>
            <w:vAlign w:val="bottom"/>
          </w:tcPr>
          <w:p w14:paraId="279C7EA8" w14:textId="77777777" w:rsidR="0062640D" w:rsidRDefault="00C12A80">
            <w:pPr>
              <w:pStyle w:val="Account-BracketBold"/>
            </w:pPr>
            <w:r>
              <w:t>(1,262,587)</w:t>
            </w:r>
          </w:p>
        </w:tc>
        <w:tc>
          <w:tcPr>
            <w:tcW w:w="113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39B3AF59" w14:textId="77777777" w:rsidR="0062640D" w:rsidRDefault="00C12A80">
            <w:pPr>
              <w:pStyle w:val="AccountsBold"/>
            </w:pPr>
            <w:r>
              <w:t>2.26</w:t>
            </w:r>
          </w:p>
        </w:tc>
        <w:tc>
          <w:tcPr>
            <w:tcW w:w="113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3D5ACBA3" w14:textId="77777777" w:rsidR="0062640D" w:rsidRDefault="00C12A80">
            <w:pPr>
              <w:pStyle w:val="Accounts-Bracket"/>
            </w:pPr>
            <w:r>
              <w:t>(47,488)</w:t>
            </w:r>
          </w:p>
        </w:tc>
        <w:tc>
          <w:tcPr>
            <w:tcW w:w="113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5F43120A" w14:textId="77777777" w:rsidR="0062640D" w:rsidRDefault="00C12A80">
            <w:pPr>
              <w:pStyle w:val="Accounts"/>
            </w:pPr>
            <w:r>
              <w:t>3.46</w:t>
            </w:r>
          </w:p>
        </w:tc>
      </w:tr>
      <w:tr w:rsidR="0062640D" w14:paraId="081A1241" w14:textId="77777777">
        <w:tc>
          <w:tcPr>
            <w:tcW w:w="5555"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5360D25F" w14:textId="77777777" w:rsidR="0062640D" w:rsidRDefault="00C12A80">
            <w:pPr>
              <w:pStyle w:val="Heading-2"/>
            </w:pPr>
            <w:r>
              <w:t>Outstanding at the end of the year</w:t>
            </w:r>
          </w:p>
        </w:tc>
        <w:tc>
          <w:tcPr>
            <w:tcW w:w="113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44736A51" w14:textId="77777777" w:rsidR="0062640D" w:rsidRDefault="00C12A80">
            <w:pPr>
              <w:pStyle w:val="AccountsBold"/>
            </w:pPr>
            <w:r>
              <w:t>2,359,273</w:t>
            </w:r>
          </w:p>
        </w:tc>
        <w:tc>
          <w:tcPr>
            <w:tcW w:w="113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1AC27D2B" w14:textId="77777777" w:rsidR="0062640D" w:rsidRDefault="00C12A80">
            <w:pPr>
              <w:pStyle w:val="AccountsBold"/>
            </w:pPr>
            <w:r>
              <w:t>2.99</w:t>
            </w:r>
          </w:p>
        </w:tc>
        <w:tc>
          <w:tcPr>
            <w:tcW w:w="113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3248A8FF" w14:textId="77777777" w:rsidR="0062640D" w:rsidRDefault="00C12A80">
            <w:pPr>
              <w:pStyle w:val="Accounts"/>
            </w:pPr>
            <w:r>
              <w:t>1,480,299</w:t>
            </w:r>
          </w:p>
        </w:tc>
        <w:tc>
          <w:tcPr>
            <w:tcW w:w="113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28881854" w14:textId="77777777" w:rsidR="0062640D" w:rsidRDefault="00C12A80">
            <w:pPr>
              <w:pStyle w:val="Accounts"/>
            </w:pPr>
            <w:r>
              <w:t>2.39</w:t>
            </w:r>
          </w:p>
        </w:tc>
      </w:tr>
    </w:tbl>
    <w:p w14:paraId="6B3B02E1" w14:textId="77777777" w:rsidR="0062640D" w:rsidRDefault="0062640D"/>
    <w:p w14:paraId="51EA6594" w14:textId="77777777" w:rsidR="0062640D" w:rsidRDefault="00C12A80">
      <w:r>
        <w:t xml:space="preserve">The weighted average remaining contractual life for the share options outstanding at 31 December 2024 is 3.1 years (31 December 2023: 0.8 years). </w:t>
      </w:r>
    </w:p>
    <w:p w14:paraId="2847B190" w14:textId="77777777" w:rsidR="0062640D" w:rsidRDefault="0062640D"/>
    <w:p w14:paraId="6173B023" w14:textId="77777777" w:rsidR="0062640D" w:rsidRDefault="00C12A80">
      <w:pPr>
        <w:pStyle w:val="Heading-1"/>
      </w:pPr>
      <w:r>
        <w:t>9 Tax charge</w:t>
      </w:r>
    </w:p>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7823"/>
        <w:gridCol w:w="1133"/>
        <w:gridCol w:w="1133"/>
      </w:tblGrid>
      <w:tr w:rsidR="0062640D" w14:paraId="12211F4C" w14:textId="77777777">
        <w:tc>
          <w:tcPr>
            <w:tcW w:w="7823" w:type="dxa"/>
            <w:tcBorders>
              <w:top w:val="nil"/>
              <w:left w:val="nil"/>
              <w:bottom w:val="nil"/>
              <w:right w:val="nil"/>
            </w:tcBorders>
            <w:tcMar>
              <w:top w:w="45" w:type="dxa"/>
              <w:left w:w="0" w:type="dxa"/>
              <w:bottom w:w="0" w:type="dxa"/>
              <w:right w:w="0" w:type="dxa"/>
            </w:tcMar>
            <w:vAlign w:val="bottom"/>
          </w:tcPr>
          <w:p w14:paraId="2E390BDA" w14:textId="77777777" w:rsidR="0062640D" w:rsidRDefault="0062640D"/>
        </w:tc>
        <w:tc>
          <w:tcPr>
            <w:tcW w:w="1133" w:type="dxa"/>
            <w:tcBorders>
              <w:top w:val="nil"/>
              <w:left w:val="nil"/>
              <w:bottom w:val="nil"/>
              <w:right w:val="nil"/>
            </w:tcBorders>
            <w:tcMar>
              <w:top w:w="45" w:type="dxa"/>
              <w:left w:w="0" w:type="dxa"/>
              <w:bottom w:w="0" w:type="dxa"/>
              <w:right w:w="0" w:type="dxa"/>
            </w:tcMar>
            <w:vAlign w:val="bottom"/>
          </w:tcPr>
          <w:p w14:paraId="5D887B91" w14:textId="77777777" w:rsidR="0062640D" w:rsidRDefault="00C12A80">
            <w:pPr>
              <w:pStyle w:val="Table-Headings"/>
            </w:pPr>
            <w:r>
              <w:t>2024</w:t>
            </w:r>
          </w:p>
        </w:tc>
        <w:tc>
          <w:tcPr>
            <w:tcW w:w="1133" w:type="dxa"/>
            <w:tcBorders>
              <w:top w:val="nil"/>
              <w:left w:val="nil"/>
              <w:bottom w:val="nil"/>
              <w:right w:val="nil"/>
            </w:tcBorders>
            <w:tcMar>
              <w:top w:w="56" w:type="dxa"/>
              <w:left w:w="0" w:type="dxa"/>
              <w:bottom w:w="0" w:type="dxa"/>
              <w:right w:w="0" w:type="dxa"/>
            </w:tcMar>
            <w:vAlign w:val="bottom"/>
          </w:tcPr>
          <w:p w14:paraId="57F94D8E" w14:textId="77777777" w:rsidR="0062640D" w:rsidRDefault="00C12A80">
            <w:pPr>
              <w:pStyle w:val="Table-Headings"/>
            </w:pPr>
            <w:r>
              <w:t>2023</w:t>
            </w:r>
          </w:p>
        </w:tc>
      </w:tr>
      <w:tr w:rsidR="0062640D" w14:paraId="29F36BAC" w14:textId="77777777">
        <w:tc>
          <w:tcPr>
            <w:tcW w:w="7823" w:type="dxa"/>
            <w:tcBorders>
              <w:top w:val="nil"/>
              <w:left w:val="nil"/>
              <w:bottom w:val="single" w:sz="6" w:space="0" w:color="FF777C"/>
              <w:right w:val="nil"/>
            </w:tcBorders>
            <w:tcMar>
              <w:top w:w="45" w:type="dxa"/>
              <w:left w:w="0" w:type="dxa"/>
              <w:bottom w:w="56" w:type="dxa"/>
              <w:right w:w="0" w:type="dxa"/>
            </w:tcMar>
            <w:vAlign w:val="bottom"/>
          </w:tcPr>
          <w:p w14:paraId="1BBA70DE" w14:textId="77777777" w:rsidR="0062640D" w:rsidRDefault="0062640D"/>
        </w:tc>
        <w:tc>
          <w:tcPr>
            <w:tcW w:w="1133" w:type="dxa"/>
            <w:tcBorders>
              <w:top w:val="nil"/>
              <w:left w:val="nil"/>
              <w:bottom w:val="single" w:sz="6" w:space="0" w:color="FF777C"/>
              <w:right w:val="nil"/>
            </w:tcBorders>
            <w:tcMar>
              <w:top w:w="45" w:type="dxa"/>
              <w:left w:w="0" w:type="dxa"/>
              <w:bottom w:w="56" w:type="dxa"/>
              <w:right w:w="0" w:type="dxa"/>
            </w:tcMar>
            <w:vAlign w:val="bottom"/>
          </w:tcPr>
          <w:p w14:paraId="5A88A859" w14:textId="77777777" w:rsidR="0062640D" w:rsidRDefault="00C12A80">
            <w:pPr>
              <w:pStyle w:val="Table-Headings"/>
            </w:pPr>
            <w:r>
              <w:t>€’000</w:t>
            </w:r>
          </w:p>
        </w:tc>
        <w:tc>
          <w:tcPr>
            <w:tcW w:w="1133" w:type="dxa"/>
            <w:tcBorders>
              <w:top w:val="nil"/>
              <w:left w:val="nil"/>
              <w:bottom w:val="single" w:sz="6" w:space="0" w:color="FF777C"/>
              <w:right w:val="nil"/>
            </w:tcBorders>
            <w:tcMar>
              <w:top w:w="56" w:type="dxa"/>
              <w:left w:w="0" w:type="dxa"/>
              <w:bottom w:w="85" w:type="dxa"/>
              <w:right w:w="0" w:type="dxa"/>
            </w:tcMar>
            <w:vAlign w:val="bottom"/>
          </w:tcPr>
          <w:p w14:paraId="47AF44E9" w14:textId="77777777" w:rsidR="0062640D" w:rsidRDefault="00C12A80">
            <w:pPr>
              <w:pStyle w:val="Table-Headings"/>
            </w:pPr>
            <w:r>
              <w:t>€’000</w:t>
            </w:r>
          </w:p>
        </w:tc>
      </w:tr>
      <w:tr w:rsidR="0062640D" w14:paraId="55A3B3D5" w14:textId="77777777">
        <w:tc>
          <w:tcPr>
            <w:tcW w:w="782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7A7674D5" w14:textId="77777777" w:rsidR="0062640D" w:rsidRDefault="00C12A80">
            <w:pPr>
              <w:pStyle w:val="Heading-2"/>
            </w:pPr>
            <w:r>
              <w:t>Current tax</w:t>
            </w:r>
          </w:p>
        </w:tc>
        <w:tc>
          <w:tcPr>
            <w:tcW w:w="113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2D6CF6EE" w14:textId="77777777" w:rsidR="0062640D" w:rsidRDefault="0062640D"/>
        </w:tc>
        <w:tc>
          <w:tcPr>
            <w:tcW w:w="113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4849E359" w14:textId="77777777" w:rsidR="0062640D" w:rsidRDefault="0062640D"/>
        </w:tc>
      </w:tr>
      <w:tr w:rsidR="0062640D" w14:paraId="5EE0AAFA"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0436DECE" w14:textId="77777777" w:rsidR="0062640D" w:rsidRDefault="00C12A80">
            <w:r>
              <w:t>Irish corporation tax charge</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80E31F1" w14:textId="77777777" w:rsidR="0062640D" w:rsidRDefault="00C12A80">
            <w:pPr>
              <w:pStyle w:val="AccountsBold"/>
            </w:pPr>
            <w:r>
              <w:t>12,686</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639ED1BA" w14:textId="77777777" w:rsidR="0062640D" w:rsidRDefault="00C12A80">
            <w:pPr>
              <w:pStyle w:val="Accounts"/>
            </w:pPr>
            <w:r>
              <w:t>15,377</w:t>
            </w:r>
          </w:p>
        </w:tc>
      </w:tr>
      <w:tr w:rsidR="0062640D" w14:paraId="66A3BAED"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6C0C33ED" w14:textId="77777777" w:rsidR="0062640D" w:rsidRDefault="00C12A80">
            <w:r>
              <w:t>Foreign corporation tax charge</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2B30F5A6" w14:textId="77777777" w:rsidR="0062640D" w:rsidRDefault="00C12A80">
            <w:pPr>
              <w:pStyle w:val="AccountsBold"/>
            </w:pPr>
            <w:r>
              <w:t>-</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04CA006" w14:textId="77777777" w:rsidR="0062640D" w:rsidRDefault="00C12A80">
            <w:pPr>
              <w:pStyle w:val="Accounts"/>
            </w:pPr>
            <w:r>
              <w:t>33</w:t>
            </w:r>
          </w:p>
        </w:tc>
      </w:tr>
      <w:tr w:rsidR="0062640D" w14:paraId="055FC635" w14:textId="77777777">
        <w:tc>
          <w:tcPr>
            <w:tcW w:w="782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32471181" w14:textId="77777777" w:rsidR="0062640D" w:rsidRDefault="00C12A80">
            <w:r>
              <w:t>Under/(over) provision in respect of prior years</w:t>
            </w:r>
          </w:p>
        </w:tc>
        <w:tc>
          <w:tcPr>
            <w:tcW w:w="113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6B7761EB" w14:textId="77777777" w:rsidR="0062640D" w:rsidRDefault="00C12A80">
            <w:pPr>
              <w:pStyle w:val="AccountsBold"/>
            </w:pPr>
            <w:r>
              <w:t>368</w:t>
            </w:r>
          </w:p>
        </w:tc>
        <w:tc>
          <w:tcPr>
            <w:tcW w:w="113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5DF46F54" w14:textId="77777777" w:rsidR="0062640D" w:rsidRDefault="00C12A80">
            <w:pPr>
              <w:pStyle w:val="Accounts-Bracket"/>
            </w:pPr>
            <w:r>
              <w:t>(560)</w:t>
            </w:r>
          </w:p>
        </w:tc>
      </w:tr>
      <w:tr w:rsidR="0062640D" w14:paraId="27DC6104" w14:textId="77777777">
        <w:tc>
          <w:tcPr>
            <w:tcW w:w="7823" w:type="dxa"/>
            <w:tcBorders>
              <w:top w:val="single" w:sz="2"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464386D1" w14:textId="77777777" w:rsidR="0062640D" w:rsidRDefault="0062640D"/>
        </w:tc>
        <w:tc>
          <w:tcPr>
            <w:tcW w:w="1133" w:type="dxa"/>
            <w:tcBorders>
              <w:top w:val="single" w:sz="2"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2797D62C" w14:textId="77777777" w:rsidR="0062640D" w:rsidRDefault="00C12A80">
            <w:pPr>
              <w:pStyle w:val="AccountsBold"/>
            </w:pPr>
            <w:r>
              <w:t>13,054</w:t>
            </w:r>
          </w:p>
        </w:tc>
        <w:tc>
          <w:tcPr>
            <w:tcW w:w="1133" w:type="dxa"/>
            <w:tcBorders>
              <w:top w:val="single" w:sz="2"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07000C16" w14:textId="77777777" w:rsidR="0062640D" w:rsidRDefault="00C12A80">
            <w:pPr>
              <w:pStyle w:val="Accounts"/>
            </w:pPr>
            <w:r>
              <w:t>14,850</w:t>
            </w:r>
          </w:p>
        </w:tc>
      </w:tr>
      <w:tr w:rsidR="0062640D" w14:paraId="298684F9" w14:textId="77777777">
        <w:tc>
          <w:tcPr>
            <w:tcW w:w="782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4C8292B2" w14:textId="4BB688E3" w:rsidR="0062640D" w:rsidRDefault="00C12A80">
            <w:r>
              <w:t>Deferred tax (credit)/charge (</w:t>
            </w:r>
            <w:hyperlink w:anchor="note-24" w:history="1">
              <w:r w:rsidRPr="001D58A0">
                <w:rPr>
                  <w:rStyle w:val="Hyperlink"/>
                </w:rPr>
                <w:t>note 2</w:t>
              </w:r>
              <w:r w:rsidR="0019715E" w:rsidRPr="001D58A0">
                <w:rPr>
                  <w:rStyle w:val="Hyperlink"/>
                </w:rPr>
                <w:t>4</w:t>
              </w:r>
            </w:hyperlink>
            <w:r>
              <w:t>)</w:t>
            </w:r>
          </w:p>
        </w:tc>
        <w:tc>
          <w:tcPr>
            <w:tcW w:w="113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48429200" w14:textId="77777777" w:rsidR="0062640D" w:rsidRDefault="00C12A80">
            <w:pPr>
              <w:pStyle w:val="Account-BracketBold"/>
            </w:pPr>
            <w:r>
              <w:t>(557)</w:t>
            </w:r>
          </w:p>
        </w:tc>
        <w:tc>
          <w:tcPr>
            <w:tcW w:w="113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3CE7F3F3" w14:textId="77777777" w:rsidR="0062640D" w:rsidRDefault="00C12A80">
            <w:pPr>
              <w:pStyle w:val="Accounts"/>
            </w:pPr>
            <w:r>
              <w:t>460</w:t>
            </w:r>
          </w:p>
        </w:tc>
      </w:tr>
      <w:tr w:rsidR="0062640D" w14:paraId="4C5FF7EF" w14:textId="77777777">
        <w:tc>
          <w:tcPr>
            <w:tcW w:w="782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28A81A2D" w14:textId="77777777" w:rsidR="0062640D" w:rsidRDefault="0062640D"/>
        </w:tc>
        <w:tc>
          <w:tcPr>
            <w:tcW w:w="113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54010265" w14:textId="77777777" w:rsidR="0062640D" w:rsidRDefault="00C12A80">
            <w:pPr>
              <w:pStyle w:val="AccountsBold"/>
            </w:pPr>
            <w:r>
              <w:t>12,497</w:t>
            </w:r>
          </w:p>
        </w:tc>
        <w:tc>
          <w:tcPr>
            <w:tcW w:w="113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45C5B28F" w14:textId="77777777" w:rsidR="0062640D" w:rsidRDefault="00C12A80">
            <w:pPr>
              <w:pStyle w:val="Accounts"/>
            </w:pPr>
            <w:r>
              <w:t>15,310</w:t>
            </w:r>
          </w:p>
        </w:tc>
      </w:tr>
    </w:tbl>
    <w:p w14:paraId="18B75974" w14:textId="77777777" w:rsidR="0062640D" w:rsidRDefault="0062640D"/>
    <w:p w14:paraId="4CEF7182" w14:textId="77777777" w:rsidR="0062640D" w:rsidRDefault="00C12A80">
      <w:r>
        <w:t>The tax assessed for the year differs from the standard rate of corporation tax in Ireland for the year. The differences are explained below.</w:t>
      </w:r>
    </w:p>
    <w:p w14:paraId="18E2752D" w14:textId="77777777" w:rsidR="0062640D" w:rsidRDefault="0062640D"/>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7823"/>
        <w:gridCol w:w="1125"/>
        <w:gridCol w:w="1141"/>
      </w:tblGrid>
      <w:tr w:rsidR="0062640D" w14:paraId="0371BCAD" w14:textId="77777777">
        <w:tc>
          <w:tcPr>
            <w:tcW w:w="7823" w:type="dxa"/>
            <w:tcBorders>
              <w:top w:val="nil"/>
              <w:left w:val="nil"/>
              <w:bottom w:val="nil"/>
              <w:right w:val="nil"/>
            </w:tcBorders>
            <w:tcMar>
              <w:top w:w="45" w:type="dxa"/>
              <w:left w:w="0" w:type="dxa"/>
              <w:bottom w:w="0" w:type="dxa"/>
              <w:right w:w="0" w:type="dxa"/>
            </w:tcMar>
            <w:vAlign w:val="bottom"/>
          </w:tcPr>
          <w:p w14:paraId="42B5F6DF" w14:textId="77777777" w:rsidR="0062640D" w:rsidRDefault="0062640D"/>
        </w:tc>
        <w:tc>
          <w:tcPr>
            <w:tcW w:w="1125" w:type="dxa"/>
            <w:tcBorders>
              <w:top w:val="nil"/>
              <w:left w:val="nil"/>
              <w:bottom w:val="nil"/>
              <w:right w:val="nil"/>
            </w:tcBorders>
            <w:tcMar>
              <w:top w:w="45" w:type="dxa"/>
              <w:left w:w="0" w:type="dxa"/>
              <w:bottom w:w="0" w:type="dxa"/>
              <w:right w:w="0" w:type="dxa"/>
            </w:tcMar>
            <w:vAlign w:val="bottom"/>
          </w:tcPr>
          <w:p w14:paraId="59CC9357" w14:textId="77777777" w:rsidR="0062640D" w:rsidRDefault="00C12A80">
            <w:pPr>
              <w:pStyle w:val="Table-Headings"/>
            </w:pPr>
            <w:r>
              <w:t>2024</w:t>
            </w:r>
          </w:p>
        </w:tc>
        <w:tc>
          <w:tcPr>
            <w:tcW w:w="1141" w:type="dxa"/>
            <w:tcBorders>
              <w:top w:val="nil"/>
              <w:left w:val="nil"/>
              <w:bottom w:val="nil"/>
              <w:right w:val="nil"/>
            </w:tcBorders>
            <w:tcMar>
              <w:top w:w="56" w:type="dxa"/>
              <w:left w:w="0" w:type="dxa"/>
              <w:bottom w:w="0" w:type="dxa"/>
              <w:right w:w="0" w:type="dxa"/>
            </w:tcMar>
            <w:vAlign w:val="bottom"/>
          </w:tcPr>
          <w:p w14:paraId="183D51A4" w14:textId="77777777" w:rsidR="0062640D" w:rsidRDefault="00C12A80">
            <w:pPr>
              <w:pStyle w:val="Table-Headings"/>
            </w:pPr>
            <w:r>
              <w:t>2023</w:t>
            </w:r>
          </w:p>
        </w:tc>
      </w:tr>
      <w:tr w:rsidR="0062640D" w14:paraId="029AAF91" w14:textId="77777777">
        <w:tc>
          <w:tcPr>
            <w:tcW w:w="7823" w:type="dxa"/>
            <w:tcBorders>
              <w:top w:val="nil"/>
              <w:left w:val="nil"/>
              <w:bottom w:val="single" w:sz="6" w:space="0" w:color="FF777C"/>
              <w:right w:val="nil"/>
            </w:tcBorders>
            <w:tcMar>
              <w:top w:w="45" w:type="dxa"/>
              <w:left w:w="0" w:type="dxa"/>
              <w:bottom w:w="56" w:type="dxa"/>
              <w:right w:w="0" w:type="dxa"/>
            </w:tcMar>
            <w:vAlign w:val="bottom"/>
          </w:tcPr>
          <w:p w14:paraId="3D5FDFE3" w14:textId="77777777" w:rsidR="0062640D" w:rsidRDefault="0062640D"/>
        </w:tc>
        <w:tc>
          <w:tcPr>
            <w:tcW w:w="1125" w:type="dxa"/>
            <w:tcBorders>
              <w:top w:val="nil"/>
              <w:left w:val="nil"/>
              <w:bottom w:val="single" w:sz="6" w:space="0" w:color="FF777C"/>
              <w:right w:val="nil"/>
            </w:tcBorders>
            <w:tcMar>
              <w:top w:w="45" w:type="dxa"/>
              <w:left w:w="0" w:type="dxa"/>
              <w:bottom w:w="56" w:type="dxa"/>
              <w:right w:w="0" w:type="dxa"/>
            </w:tcMar>
            <w:vAlign w:val="bottom"/>
          </w:tcPr>
          <w:p w14:paraId="221CD34B" w14:textId="77777777" w:rsidR="0062640D" w:rsidRDefault="00C12A80">
            <w:pPr>
              <w:pStyle w:val="Table-Headings"/>
            </w:pPr>
            <w:r>
              <w:t>€’000</w:t>
            </w:r>
          </w:p>
        </w:tc>
        <w:tc>
          <w:tcPr>
            <w:tcW w:w="1141" w:type="dxa"/>
            <w:tcBorders>
              <w:top w:val="nil"/>
              <w:left w:val="nil"/>
              <w:bottom w:val="single" w:sz="6" w:space="0" w:color="FF777C"/>
              <w:right w:val="nil"/>
            </w:tcBorders>
            <w:tcMar>
              <w:top w:w="56" w:type="dxa"/>
              <w:left w:w="0" w:type="dxa"/>
              <w:bottom w:w="85" w:type="dxa"/>
              <w:right w:w="0" w:type="dxa"/>
            </w:tcMar>
            <w:vAlign w:val="bottom"/>
          </w:tcPr>
          <w:p w14:paraId="46E2B731" w14:textId="77777777" w:rsidR="0062640D" w:rsidRDefault="00C12A80">
            <w:pPr>
              <w:pStyle w:val="Table-Headings"/>
            </w:pPr>
            <w:r>
              <w:t>€’000</w:t>
            </w:r>
          </w:p>
        </w:tc>
      </w:tr>
      <w:tr w:rsidR="0062640D" w14:paraId="48845645" w14:textId="77777777">
        <w:tc>
          <w:tcPr>
            <w:tcW w:w="782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034DFC36" w14:textId="77777777" w:rsidR="0062640D" w:rsidRDefault="00C12A80">
            <w:r>
              <w:t>Profit before tax</w:t>
            </w:r>
          </w:p>
        </w:tc>
        <w:tc>
          <w:tcPr>
            <w:tcW w:w="1125"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61D14F60" w14:textId="6A992B39" w:rsidR="0062640D" w:rsidRDefault="00C12A80">
            <w:pPr>
              <w:pStyle w:val="AccountsBold"/>
            </w:pPr>
            <w:r>
              <w:t>91,2</w:t>
            </w:r>
            <w:r w:rsidR="003916DE">
              <w:t>38</w:t>
            </w:r>
          </w:p>
        </w:tc>
        <w:tc>
          <w:tcPr>
            <w:tcW w:w="1141"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35DF09B6" w14:textId="77777777" w:rsidR="0062640D" w:rsidRDefault="00C12A80">
            <w:pPr>
              <w:pStyle w:val="Accounts"/>
            </w:pPr>
            <w:r>
              <w:t>105,532</w:t>
            </w:r>
          </w:p>
        </w:tc>
      </w:tr>
      <w:tr w:rsidR="0062640D" w14:paraId="17046966"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7EE7607" w14:textId="77777777" w:rsidR="0062640D" w:rsidRDefault="0062640D"/>
        </w:tc>
        <w:tc>
          <w:tcPr>
            <w:tcW w:w="1125"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32329FAB" w14:textId="77777777" w:rsidR="0062640D" w:rsidRDefault="0062640D"/>
        </w:tc>
        <w:tc>
          <w:tcPr>
            <w:tcW w:w="1141"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5B2434A4" w14:textId="77777777" w:rsidR="0062640D" w:rsidRDefault="0062640D"/>
        </w:tc>
      </w:tr>
      <w:tr w:rsidR="0062640D" w14:paraId="5B8A0A21"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F4C1E29" w14:textId="77777777" w:rsidR="0062640D" w:rsidRDefault="00C12A80">
            <w:r>
              <w:t>Tax on profit at standard Irish corporation tax rate of 12.5%</w:t>
            </w:r>
          </w:p>
        </w:tc>
        <w:tc>
          <w:tcPr>
            <w:tcW w:w="1125"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62DD5E6" w14:textId="77777777" w:rsidR="0062640D" w:rsidRDefault="00C12A80">
            <w:pPr>
              <w:pStyle w:val="AccountsBold"/>
            </w:pPr>
            <w:r>
              <w:t>11,405</w:t>
            </w:r>
          </w:p>
        </w:tc>
        <w:tc>
          <w:tcPr>
            <w:tcW w:w="1141"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6773AB93" w14:textId="77777777" w:rsidR="0062640D" w:rsidRDefault="00C12A80">
            <w:pPr>
              <w:pStyle w:val="Accounts"/>
            </w:pPr>
            <w:r>
              <w:t>13,192</w:t>
            </w:r>
          </w:p>
        </w:tc>
      </w:tr>
      <w:tr w:rsidR="0062640D" w14:paraId="43C68006"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59B38B1F" w14:textId="77777777" w:rsidR="0062640D" w:rsidRDefault="0062640D"/>
        </w:tc>
        <w:tc>
          <w:tcPr>
            <w:tcW w:w="1125"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57ED1D1F" w14:textId="77777777" w:rsidR="0062640D" w:rsidRDefault="0062640D"/>
        </w:tc>
        <w:tc>
          <w:tcPr>
            <w:tcW w:w="1141"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3E830794" w14:textId="77777777" w:rsidR="0062640D" w:rsidRDefault="0062640D"/>
        </w:tc>
      </w:tr>
      <w:tr w:rsidR="0062640D" w14:paraId="177DB8BC"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312A360E" w14:textId="77777777" w:rsidR="0062640D" w:rsidRDefault="00C12A80">
            <w:pPr>
              <w:pStyle w:val="Heading-2"/>
            </w:pPr>
            <w:r>
              <w:t>Effects of:</w:t>
            </w:r>
          </w:p>
        </w:tc>
        <w:tc>
          <w:tcPr>
            <w:tcW w:w="1125"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3B6882B0" w14:textId="77777777" w:rsidR="0062640D" w:rsidRDefault="0062640D"/>
        </w:tc>
        <w:tc>
          <w:tcPr>
            <w:tcW w:w="1141"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336A7E58" w14:textId="77777777" w:rsidR="0062640D" w:rsidRDefault="0062640D"/>
        </w:tc>
      </w:tr>
      <w:tr w:rsidR="0062640D" w14:paraId="3C84220B"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D24B1B4" w14:textId="77777777" w:rsidR="0062640D" w:rsidRDefault="00C12A80">
            <w:r>
              <w:t>Income taxed at a higher rate</w:t>
            </w:r>
          </w:p>
        </w:tc>
        <w:tc>
          <w:tcPr>
            <w:tcW w:w="1125"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3C22314" w14:textId="77777777" w:rsidR="0062640D" w:rsidRDefault="00C12A80">
            <w:pPr>
              <w:pStyle w:val="AccountsBold"/>
            </w:pPr>
            <w:r>
              <w:t>832</w:t>
            </w:r>
          </w:p>
        </w:tc>
        <w:tc>
          <w:tcPr>
            <w:tcW w:w="1141"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9C88432" w14:textId="77777777" w:rsidR="0062640D" w:rsidRDefault="00C12A80">
            <w:pPr>
              <w:pStyle w:val="Accounts"/>
            </w:pPr>
            <w:r>
              <w:t>1,131</w:t>
            </w:r>
          </w:p>
        </w:tc>
      </w:tr>
      <w:tr w:rsidR="0062640D" w14:paraId="5BB3A3E0"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341ADC75" w14:textId="77777777" w:rsidR="0062640D" w:rsidRDefault="00C12A80">
            <w:r>
              <w:t>Expenses not deductible for tax purposes</w:t>
            </w:r>
          </w:p>
        </w:tc>
        <w:tc>
          <w:tcPr>
            <w:tcW w:w="1125"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058853E4" w14:textId="77777777" w:rsidR="0062640D" w:rsidRDefault="00C12A80">
            <w:pPr>
              <w:pStyle w:val="AccountsBold"/>
            </w:pPr>
            <w:r>
              <w:t>393</w:t>
            </w:r>
          </w:p>
        </w:tc>
        <w:tc>
          <w:tcPr>
            <w:tcW w:w="1141"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5A070E12" w14:textId="77777777" w:rsidR="0062640D" w:rsidRDefault="00C12A80">
            <w:pPr>
              <w:pStyle w:val="Accounts"/>
            </w:pPr>
            <w:r>
              <w:t>1,556</w:t>
            </w:r>
          </w:p>
        </w:tc>
      </w:tr>
      <w:tr w:rsidR="0062640D" w14:paraId="5D81BA45"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5A2B254" w14:textId="77777777" w:rsidR="0062640D" w:rsidRDefault="00C12A80">
            <w:r>
              <w:t>Impact of impairments not deductible</w:t>
            </w:r>
            <w:proofErr w:type="gramStart"/>
            <w:r>
              <w:t>/(</w:t>
            </w:r>
            <w:proofErr w:type="gramEnd"/>
            <w:r>
              <w:t xml:space="preserve">revaluation gains not subject to tax) </w:t>
            </w:r>
          </w:p>
        </w:tc>
        <w:tc>
          <w:tcPr>
            <w:tcW w:w="1125"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D9FEDDA" w14:textId="77777777" w:rsidR="0062640D" w:rsidRDefault="00C12A80">
            <w:pPr>
              <w:pStyle w:val="AccountsBold"/>
            </w:pPr>
            <w:r>
              <w:t>161</w:t>
            </w:r>
          </w:p>
        </w:tc>
        <w:tc>
          <w:tcPr>
            <w:tcW w:w="1141"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B74738D" w14:textId="77777777" w:rsidR="0062640D" w:rsidRDefault="00C12A80">
            <w:pPr>
              <w:pStyle w:val="Accounts-Bracket"/>
            </w:pPr>
            <w:r>
              <w:t>(108)</w:t>
            </w:r>
          </w:p>
        </w:tc>
      </w:tr>
      <w:tr w:rsidR="0062640D" w14:paraId="4500AF63"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54D3BEEF" w14:textId="77777777" w:rsidR="0062640D" w:rsidRDefault="00C12A80">
            <w:r>
              <w:t>Foreign losses taxed at higher rate</w:t>
            </w:r>
          </w:p>
        </w:tc>
        <w:tc>
          <w:tcPr>
            <w:tcW w:w="1125"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5A50B6CE" w14:textId="1AFFB6DE" w:rsidR="0062640D" w:rsidRDefault="00C12A80">
            <w:pPr>
              <w:pStyle w:val="Account-BracketBold"/>
            </w:pPr>
            <w:r>
              <w:t>(1,</w:t>
            </w:r>
            <w:r w:rsidR="003916DE">
              <w:t>424</w:t>
            </w:r>
            <w:r>
              <w:t>)</w:t>
            </w:r>
          </w:p>
        </w:tc>
        <w:tc>
          <w:tcPr>
            <w:tcW w:w="1141"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6581F0D3" w14:textId="77777777" w:rsidR="0062640D" w:rsidRDefault="00C12A80">
            <w:pPr>
              <w:pStyle w:val="Accounts-Bracket"/>
            </w:pPr>
            <w:r>
              <w:t>(1,137)</w:t>
            </w:r>
          </w:p>
        </w:tc>
      </w:tr>
      <w:tr w:rsidR="0062640D" w14:paraId="3A35F583"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6552F8C" w14:textId="77777777" w:rsidR="0062640D" w:rsidRDefault="00C12A80">
            <w:r>
              <w:t>Under/(over) provision in respect of current tax in prior periods</w:t>
            </w:r>
          </w:p>
        </w:tc>
        <w:tc>
          <w:tcPr>
            <w:tcW w:w="1125"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D0DEBBE" w14:textId="77777777" w:rsidR="0062640D" w:rsidRDefault="00C12A80">
            <w:pPr>
              <w:pStyle w:val="AccountsBold"/>
            </w:pPr>
            <w:r>
              <w:t>368</w:t>
            </w:r>
          </w:p>
        </w:tc>
        <w:tc>
          <w:tcPr>
            <w:tcW w:w="1141"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2A19C8B8" w14:textId="77777777" w:rsidR="0062640D" w:rsidRDefault="00C12A80">
            <w:pPr>
              <w:pStyle w:val="Accounts-Bracket"/>
            </w:pPr>
            <w:r>
              <w:t>(560)</w:t>
            </w:r>
          </w:p>
        </w:tc>
      </w:tr>
      <w:tr w:rsidR="0062640D" w14:paraId="78CFA110"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318850C" w14:textId="77777777" w:rsidR="0062640D" w:rsidRDefault="00C12A80">
            <w:r>
              <w:t>Over provision in respect of deferred tax in prior periods</w:t>
            </w:r>
          </w:p>
        </w:tc>
        <w:tc>
          <w:tcPr>
            <w:tcW w:w="1125"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EB4EAC3" w14:textId="3906EB92" w:rsidR="0062640D" w:rsidRDefault="00C12A80">
            <w:pPr>
              <w:pStyle w:val="Account-BracketBold"/>
            </w:pPr>
            <w:r>
              <w:t>(</w:t>
            </w:r>
            <w:r w:rsidR="003916DE">
              <w:t>919</w:t>
            </w:r>
            <w:r>
              <w:t>)</w:t>
            </w:r>
          </w:p>
        </w:tc>
        <w:tc>
          <w:tcPr>
            <w:tcW w:w="1141"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D9F06AB" w14:textId="77777777" w:rsidR="0062640D" w:rsidRDefault="00C12A80">
            <w:pPr>
              <w:pStyle w:val="Accounts-Bracket"/>
            </w:pPr>
            <w:r>
              <w:t>(893)</w:t>
            </w:r>
          </w:p>
        </w:tc>
      </w:tr>
      <w:tr w:rsidR="0062640D" w14:paraId="76630295"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5062E5F0" w14:textId="77777777" w:rsidR="0062640D" w:rsidRDefault="00C12A80">
            <w:r>
              <w:t>Impact of differing rates between current tax and deferred tax</w:t>
            </w:r>
          </w:p>
        </w:tc>
        <w:tc>
          <w:tcPr>
            <w:tcW w:w="1125"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7D1BFD14" w14:textId="77777777" w:rsidR="0062640D" w:rsidRDefault="00C12A80">
            <w:pPr>
              <w:pStyle w:val="AccountsBold"/>
            </w:pPr>
            <w:r>
              <w:t>905</w:t>
            </w:r>
          </w:p>
        </w:tc>
        <w:tc>
          <w:tcPr>
            <w:tcW w:w="1141"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35C8E0C0" w14:textId="77777777" w:rsidR="0062640D" w:rsidRDefault="00C12A80">
            <w:pPr>
              <w:pStyle w:val="Accounts"/>
            </w:pPr>
            <w:r>
              <w:t>991</w:t>
            </w:r>
          </w:p>
        </w:tc>
      </w:tr>
      <w:tr w:rsidR="0062640D" w14:paraId="0B7E60BD" w14:textId="77777777">
        <w:tc>
          <w:tcPr>
            <w:tcW w:w="782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4F67105B" w14:textId="77777777" w:rsidR="0062640D" w:rsidRDefault="00C12A80">
            <w:r>
              <w:t>Other differences</w:t>
            </w:r>
          </w:p>
        </w:tc>
        <w:tc>
          <w:tcPr>
            <w:tcW w:w="1125"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3FEB410F" w14:textId="5284CDE1" w:rsidR="0062640D" w:rsidRDefault="00C12A80">
            <w:pPr>
              <w:pStyle w:val="AccountsBold"/>
            </w:pPr>
            <w:r>
              <w:t>7</w:t>
            </w:r>
            <w:r w:rsidR="003916DE">
              <w:t>76</w:t>
            </w:r>
          </w:p>
        </w:tc>
        <w:tc>
          <w:tcPr>
            <w:tcW w:w="1141"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3F2BB9A9" w14:textId="77777777" w:rsidR="0062640D" w:rsidRDefault="00C12A80">
            <w:pPr>
              <w:pStyle w:val="Accounts"/>
            </w:pPr>
            <w:r>
              <w:t>1,138</w:t>
            </w:r>
          </w:p>
        </w:tc>
      </w:tr>
      <w:tr w:rsidR="0062640D" w14:paraId="5CF7D24D" w14:textId="77777777">
        <w:tc>
          <w:tcPr>
            <w:tcW w:w="782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0A51EC0F" w14:textId="77777777" w:rsidR="0062640D" w:rsidRDefault="0062640D"/>
        </w:tc>
        <w:tc>
          <w:tcPr>
            <w:tcW w:w="1125"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03D9B42D" w14:textId="77777777" w:rsidR="0062640D" w:rsidRDefault="00C12A80">
            <w:pPr>
              <w:pStyle w:val="AccountsBold"/>
            </w:pPr>
            <w:r>
              <w:t>12,497</w:t>
            </w:r>
          </w:p>
        </w:tc>
        <w:tc>
          <w:tcPr>
            <w:tcW w:w="1141"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51E1C2B7" w14:textId="77777777" w:rsidR="0062640D" w:rsidRDefault="00C12A80">
            <w:pPr>
              <w:pStyle w:val="Accounts"/>
            </w:pPr>
            <w:r>
              <w:t>15,310</w:t>
            </w:r>
          </w:p>
        </w:tc>
      </w:tr>
    </w:tbl>
    <w:p w14:paraId="2A4BBC6D" w14:textId="77777777" w:rsidR="0062640D" w:rsidRDefault="0062640D"/>
    <w:p w14:paraId="36885D04" w14:textId="77777777" w:rsidR="0062640D" w:rsidRDefault="00C12A80">
      <w:r>
        <w:t xml:space="preserve">The Group has recognised a tax charge of €12.5 million for the year ended 31 December 2024 (2023: €15.3 million). The tax charge primarily relates to current tax in respect of profits earned in Ireland during the year of €12.7 million (2023: €15.4 million). </w:t>
      </w:r>
    </w:p>
    <w:p w14:paraId="28653DDE" w14:textId="77777777" w:rsidR="0062640D" w:rsidRDefault="0062640D"/>
    <w:p w14:paraId="4F033834" w14:textId="77777777" w:rsidR="0062640D" w:rsidRDefault="00C12A80">
      <w:r>
        <w:t xml:space="preserve">The deferred tax credit for the year ended 31 December 2024 of €0.6 million (2023: deferred tax charge of €0.5 million) primarily relates to deferred tax in respect of tax losses which are available to utilise against future taxable profits, partially offset by a deferred tax charge arising in relation to temporary differences related to fixed assets and revaluations of land and buildings through profit and loss. The 2023 deferred tax charge primarily related to deferred tax arising on revaluation of land and buildings through profit and loss. </w:t>
      </w:r>
    </w:p>
    <w:p w14:paraId="498FF277" w14:textId="77777777" w:rsidR="0062640D" w:rsidRDefault="0062640D"/>
    <w:p w14:paraId="32559553" w14:textId="77777777" w:rsidR="0062640D" w:rsidRDefault="00C12A80">
      <w:pPr>
        <w:pStyle w:val="Heading-1"/>
      </w:pPr>
      <w:r>
        <w:t xml:space="preserve">10 Impairment </w:t>
      </w:r>
    </w:p>
    <w:p w14:paraId="184E5FAE" w14:textId="77777777" w:rsidR="0062640D" w:rsidRDefault="0062640D"/>
    <w:p w14:paraId="11B9577A" w14:textId="77777777" w:rsidR="0062640D" w:rsidRDefault="00C12A80">
      <w:proofErr w:type="gramStart"/>
      <w:r>
        <w:t>At</w:t>
      </w:r>
      <w:proofErr w:type="gramEnd"/>
      <w:r>
        <w:t xml:space="preserve"> 31 December 2024, as a result of the carrying amount of the net assets of the Group being more than its market capitalisation, the Group tested each cash generating unit (‘CGU’) for impairment as this was deemed to be a potential impairment indicator. Impairment arises where the carrying value of the CGU (which includes, where relevant, revalued properties and/or right-of-use assets, allocated goodwill, fixtures, fittings and equipment) exceeds its recoverable amount on a value in use (‘VIU’) basis. </w:t>
      </w:r>
    </w:p>
    <w:p w14:paraId="0E5D9ED1" w14:textId="77777777" w:rsidR="0062640D" w:rsidRDefault="0062640D"/>
    <w:p w14:paraId="6DCBCD9C" w14:textId="77777777" w:rsidR="003916DE" w:rsidRPr="006B0F6B" w:rsidRDefault="003916DE" w:rsidP="003916DE">
      <w:r w:rsidRPr="006B0F6B">
        <w:t xml:space="preserve">At 31 December 2024, the market capitalisation of the Group (€994 million) was lower than the net assets of the Group (€1,419 million) (market capitalisation is calculated by multiplying the share price on that date by the number of shares in issue). Market capitalisation can be influenced by </w:t>
      </w:r>
      <w:proofErr w:type="gramStart"/>
      <w:r w:rsidRPr="006B0F6B">
        <w:t>a number of</w:t>
      </w:r>
      <w:proofErr w:type="gramEnd"/>
      <w:r w:rsidRPr="006B0F6B">
        <w:t xml:space="preserve"> different market factors and uncertainties. In addition, share prices reflect a discount due to lack of control rights. The Group </w:t>
      </w:r>
      <w:proofErr w:type="gramStart"/>
      <w:r w:rsidRPr="006B0F6B">
        <w:t>as a whole is</w:t>
      </w:r>
      <w:proofErr w:type="gramEnd"/>
      <w:r w:rsidRPr="006B0F6B">
        <w:t xml:space="preserve"> not considered to be a CGU for the purposes of impairment testing and instead each hotel operating unit is considered as a CGU as it is the smallest identifiable group of assets that generates cash inflows that are largely independent of the cash inflows from other assets or groups of assets. </w:t>
      </w:r>
    </w:p>
    <w:p w14:paraId="4B46D159" w14:textId="77777777" w:rsidR="0062640D" w:rsidRDefault="0062640D"/>
    <w:p w14:paraId="272283BB" w14:textId="165FC57F" w:rsidR="0062640D" w:rsidRDefault="003916DE">
      <w:r w:rsidRPr="006B0F6B">
        <w:t xml:space="preserve">At 31 December 2024, the recoverable amounts of the Group’s CGUs were based on VIU, determined by discounting the estimated future cash flows generated from the continuing use of these hotels. VIU cash flow projections are prepared for each CGU and then compared against the carrying value of the assets, including goodwill, properties, fixtures, fittings and equipment and right-of-use assets, in that CGU. The </w:t>
      </w:r>
      <w:r w:rsidRPr="006B0F6B" w:rsidDel="00745B61">
        <w:t xml:space="preserve">Group has not </w:t>
      </w:r>
      <w:r w:rsidRPr="005D7A31">
        <w:t>quantified</w:t>
      </w:r>
      <w:r>
        <w:t xml:space="preserve"> </w:t>
      </w:r>
      <w:r w:rsidR="00B14779">
        <w:t>any</w:t>
      </w:r>
      <w:r>
        <w:t xml:space="preserve"> </w:t>
      </w:r>
      <w:r w:rsidRPr="005D7A31">
        <w:t>potential impact of decarbonisation on the carrying amounts of its assets as part of the impairment review.</w:t>
      </w:r>
      <w:r>
        <w:t xml:space="preserve"> </w:t>
      </w:r>
      <w:r w:rsidRPr="005D7A31">
        <w:t xml:space="preserve">This approach may be reviewed in future periods </w:t>
      </w:r>
      <w:proofErr w:type="gramStart"/>
      <w:r w:rsidRPr="005D7A31">
        <w:t>in light of</w:t>
      </w:r>
      <w:proofErr w:type="gramEnd"/>
      <w:r w:rsidRPr="005D7A31">
        <w:t xml:space="preserve"> any emerging legislation or environmental policy changes</w:t>
      </w:r>
      <w:r w:rsidR="00B14779">
        <w:t>.</w:t>
      </w:r>
    </w:p>
    <w:p w14:paraId="611A0BD4" w14:textId="77777777" w:rsidR="003916DE" w:rsidRDefault="003916DE"/>
    <w:p w14:paraId="1DC33DDD" w14:textId="77777777" w:rsidR="003916DE" w:rsidRPr="006B0F6B" w:rsidRDefault="003916DE" w:rsidP="003916DE">
      <w:r w:rsidRPr="006B0F6B">
        <w:t>The VIU estimates were based on the following key assumptions:</w:t>
      </w:r>
    </w:p>
    <w:p w14:paraId="6629191A" w14:textId="234483FA" w:rsidR="003916DE" w:rsidRPr="006B0F6B" w:rsidRDefault="003916DE" w:rsidP="003916DE">
      <w:pPr>
        <w:pStyle w:val="List-Unordered"/>
      </w:pPr>
      <w:r w:rsidRPr="006B0F6B">
        <w:t xml:space="preserve">Cash flow projections are based on operating results and forecasts prepared by management covering a </w:t>
      </w:r>
      <w:proofErr w:type="gramStart"/>
      <w:r w:rsidRPr="006B0F6B">
        <w:t>ten year</w:t>
      </w:r>
      <w:proofErr w:type="gramEnd"/>
      <w:r w:rsidRPr="006B0F6B">
        <w:t xml:space="preserve"> period in the case of freehold properties. This period was chosen due to the nature of the hotel assets and is consistent with the valuation basis used by independent external property valuers when performing their hotel valuations (</w:t>
      </w:r>
      <w:hyperlink w:anchor="note-13" w:history="1">
        <w:r w:rsidRPr="001D58A0">
          <w:rPr>
            <w:rStyle w:val="Hyperlink"/>
          </w:rPr>
          <w:t>note 13</w:t>
        </w:r>
      </w:hyperlink>
      <w:r w:rsidRPr="006B0F6B">
        <w:t>). For CGUs with right-of-use assets, the lease term was used;</w:t>
      </w:r>
    </w:p>
    <w:p w14:paraId="51B4DA21" w14:textId="77777777" w:rsidR="003916DE" w:rsidRPr="006B0F6B" w:rsidRDefault="003916DE" w:rsidP="003916DE">
      <w:pPr>
        <w:pStyle w:val="List-Unordered"/>
      </w:pPr>
      <w:r w:rsidRPr="006B0F6B">
        <w:t xml:space="preserve">Revenue and EBITDA for 2025 and future years are based on management’s best estimate projections as at 31 December 2024. Forecasted revenue and EBITDA are based on expectations of future outcomes taking into account the macro-environment, current earnings, past experience and adjusted for anticipated revenue and cost </w:t>
      </w:r>
      <w:proofErr w:type="gramStart"/>
      <w:r w:rsidRPr="006B0F6B">
        <w:t>growth;</w:t>
      </w:r>
      <w:proofErr w:type="gramEnd"/>
      <w:r w:rsidRPr="006B0F6B">
        <w:t xml:space="preserve"> </w:t>
      </w:r>
    </w:p>
    <w:p w14:paraId="2220FC1B" w14:textId="77777777" w:rsidR="003916DE" w:rsidRPr="006B0F6B" w:rsidRDefault="003916DE" w:rsidP="003916DE">
      <w:pPr>
        <w:pStyle w:val="List-Unordered"/>
      </w:pPr>
      <w:r w:rsidRPr="006B0F6B">
        <w:t>Cash flow projections assume a long-term compound annual growth rate post 2029 of 2% (2023: 2%) in EBITDA for all CGUs;</w:t>
      </w:r>
    </w:p>
    <w:p w14:paraId="667462A9" w14:textId="77777777" w:rsidR="003916DE" w:rsidRPr="006B0F6B" w:rsidRDefault="003916DE" w:rsidP="003916DE">
      <w:pPr>
        <w:pStyle w:val="List-Unordered"/>
      </w:pPr>
      <w:r w:rsidRPr="006B0F6B">
        <w:t>Cash flows include an average annual capital outlay on maintenance for the hotels dependent on the condition of the hotel or typically 4% (2023: 4%) of revenues but assume no enhancements to any property;</w:t>
      </w:r>
    </w:p>
    <w:p w14:paraId="19F9D8D8" w14:textId="77777777" w:rsidR="003916DE" w:rsidRPr="006B0F6B" w:rsidRDefault="003916DE" w:rsidP="003916DE">
      <w:pPr>
        <w:pStyle w:val="List-Unordered"/>
      </w:pPr>
      <w:r w:rsidRPr="006B0F6B">
        <w:t xml:space="preserve">In the case of CGUs with freehold properties, the VIU calculations also include a terminal value based on terminal (year ten) capitalisation rates consistent with those used by the external property valuers which incorporates a long-term growth rate of 2% for all properties;  </w:t>
      </w:r>
    </w:p>
    <w:p w14:paraId="21009C14" w14:textId="77777777" w:rsidR="003916DE" w:rsidRPr="006B0F6B" w:rsidRDefault="003916DE" w:rsidP="003916DE">
      <w:pPr>
        <w:pStyle w:val="List-Unordered"/>
      </w:pPr>
      <w:r w:rsidRPr="006B0F6B">
        <w:t>The cash flows are discounted using a risk adjusted discount rate specific to each property. Risk adjusted discount rates of 8.5% to 11.35% for Dublin assets (31 December 2023: 8.50% to 11.35%), 10.60% to 11.10% for Regional Ireland assets (31 December 2023: 10.00% to 12.75%), 7.60% to 10.20% for UK assets (31 December 2023: 7.40% to 11.50%), and 7.50% to 8.00% for Continental Europe assets (31 December 2023: 7.50% to 8.00%) have been used; and</w:t>
      </w:r>
    </w:p>
    <w:p w14:paraId="2F707B4A" w14:textId="77777777" w:rsidR="003916DE" w:rsidRPr="006B0F6B" w:rsidRDefault="003916DE" w:rsidP="003916DE">
      <w:pPr>
        <w:pStyle w:val="List-Unordered"/>
      </w:pPr>
      <w:r w:rsidRPr="006B0F6B">
        <w:t xml:space="preserve">The values applied to each of these key assumptions are derived from a combination of internal and external factors based on historical experience of the valuers and of management and </w:t>
      </w:r>
      <w:proofErr w:type="gramStart"/>
      <w:r w:rsidRPr="006B0F6B">
        <w:t>taking into account</w:t>
      </w:r>
      <w:proofErr w:type="gramEnd"/>
      <w:r w:rsidRPr="006B0F6B">
        <w:t xml:space="preserve"> the stability of cash flows typically associated with these factors. </w:t>
      </w:r>
    </w:p>
    <w:p w14:paraId="7DD663FA" w14:textId="77777777" w:rsidR="0062640D" w:rsidRDefault="0062640D"/>
    <w:p w14:paraId="1EF3B7E5" w14:textId="09C5AED5" w:rsidR="003916DE" w:rsidRPr="006B0F6B" w:rsidRDefault="003916DE" w:rsidP="003916DE">
      <w:r w:rsidRPr="006B0F6B">
        <w:t>Following the impairment assessments carried out on the Group’s CGUs at 31 December 2024, the recoverable amount was deemed lower than the carrying amount in one of the Group’s UK CGUs and resulted in an impairment charge of €1.</w:t>
      </w:r>
      <w:r w:rsidR="00016171">
        <w:t>3</w:t>
      </w:r>
      <w:r w:rsidRPr="006B0F6B">
        <w:t xml:space="preserve"> million (£1.1 million) relating to property, plant and equipment (</w:t>
      </w:r>
      <w:hyperlink w:anchor="note-13" w:history="1">
        <w:r w:rsidRPr="001D58A0">
          <w:rPr>
            <w:rStyle w:val="Hyperlink"/>
          </w:rPr>
          <w:t>note 13</w:t>
        </w:r>
      </w:hyperlink>
      <w:r w:rsidRPr="006B0F6B">
        <w:t>).</w:t>
      </w:r>
    </w:p>
    <w:p w14:paraId="06E2836B" w14:textId="77777777" w:rsidR="003916DE" w:rsidRPr="006B0F6B" w:rsidRDefault="003916DE" w:rsidP="003916DE"/>
    <w:p w14:paraId="3AD84E54" w14:textId="2F3EE6F3" w:rsidR="003916DE" w:rsidRPr="006B0F6B" w:rsidRDefault="003916DE" w:rsidP="003916DE">
      <w:r w:rsidRPr="006B0F6B">
        <w:t>At 31 December 2024, the recoverable amount was deemed higher than the carrying amount in one of the Group’s UK CGUs, which had previously incurred impairment charges, and resulted in an impairment reversal of €1.7 million (£1.5 million), relating to a right-of-use asset (</w:t>
      </w:r>
      <w:hyperlink w:anchor="note-14" w:history="1">
        <w:r w:rsidRPr="001D58A0">
          <w:rPr>
            <w:rStyle w:val="Hyperlink"/>
          </w:rPr>
          <w:t>note 14</w:t>
        </w:r>
      </w:hyperlink>
      <w:r w:rsidRPr="006B0F6B">
        <w:t>)</w:t>
      </w:r>
      <w:r w:rsidR="00FE7CC7">
        <w:t>.</w:t>
      </w:r>
    </w:p>
    <w:p w14:paraId="1741B7AC" w14:textId="77777777" w:rsidR="003916DE" w:rsidRPr="006B0F6B" w:rsidRDefault="003916DE" w:rsidP="003916DE"/>
    <w:p w14:paraId="4F2FFC14" w14:textId="77777777" w:rsidR="003916DE" w:rsidRPr="006B0F6B" w:rsidRDefault="003916DE" w:rsidP="003916DE">
      <w:r w:rsidRPr="006B0F6B">
        <w:t>At 31 December 2024, the carrying value of the Group’s other CGUs did not exceed their recoverable amount and no other impairment movements were required following the assessment.</w:t>
      </w:r>
    </w:p>
    <w:p w14:paraId="7EE666C0" w14:textId="77777777" w:rsidR="003916DE" w:rsidRPr="006B0F6B" w:rsidRDefault="003916DE" w:rsidP="003916DE"/>
    <w:p w14:paraId="6800CBA2" w14:textId="77777777" w:rsidR="003916DE" w:rsidRPr="006B0F6B" w:rsidRDefault="003916DE" w:rsidP="003916DE">
      <w:r w:rsidRPr="006B0F6B">
        <w:t>If the 2025 EBITDA forecasts used in cashflow in VIU estimates for impairment testing as at 31 December 2024 had been forecast 10% lower, there would still have been no additional impairment for the year ended 31 December 2024 for right-of-use assets and fixtures, fittings and equipment and allocated goodwill.</w:t>
      </w:r>
    </w:p>
    <w:p w14:paraId="0CE495A4" w14:textId="77777777" w:rsidR="0062640D" w:rsidRDefault="0062640D"/>
    <w:p w14:paraId="384D59AB" w14:textId="77777777" w:rsidR="0062640D" w:rsidRDefault="00C12A80">
      <w:pPr>
        <w:pStyle w:val="Heading-1"/>
      </w:pPr>
      <w:r>
        <w:t>11 Business combinations</w:t>
      </w:r>
    </w:p>
    <w:p w14:paraId="0A75CB98" w14:textId="77777777" w:rsidR="0062640D" w:rsidRDefault="0062640D"/>
    <w:p w14:paraId="22CAA7BF" w14:textId="77777777" w:rsidR="003916DE" w:rsidRPr="006B0F6B" w:rsidRDefault="003916DE" w:rsidP="003916DE">
      <w:r>
        <w:t>During the year ended 31 December 2023</w:t>
      </w:r>
      <w:r w:rsidRPr="006B0F6B">
        <w:t>, the Group acquired two business units requiring the acquisition method of accounting.</w:t>
      </w:r>
    </w:p>
    <w:p w14:paraId="348DBC80" w14:textId="77777777" w:rsidR="003916DE" w:rsidRDefault="003916DE"/>
    <w:p w14:paraId="64102ADB" w14:textId="77777777" w:rsidR="0062640D" w:rsidRDefault="00C12A80">
      <w:pPr>
        <w:pStyle w:val="Heading-2"/>
      </w:pPr>
      <w:r>
        <w:t xml:space="preserve">Acquisition of Clayton Hotel London Wall </w:t>
      </w:r>
    </w:p>
    <w:p w14:paraId="5B490CF1" w14:textId="77777777" w:rsidR="0062640D" w:rsidRDefault="00C12A80">
      <w:r>
        <w:t xml:space="preserve">On 3 July 2023, the Group acquired the long leasehold interest and trade of Apex Hotel London Wall, now trading as Clayton Hotel London Wall, for cash consideration of £53.4 million (€62.1 million). </w:t>
      </w:r>
    </w:p>
    <w:p w14:paraId="1C825D48" w14:textId="77777777" w:rsidR="0062640D" w:rsidRDefault="0062640D"/>
    <w:p w14:paraId="504163EE" w14:textId="77777777" w:rsidR="0062640D" w:rsidRDefault="00C12A80">
      <w:r>
        <w:t>The Group became party to a ground lease as part of the acquisition and recognised lease liabilities and right-of-use assets of £2.0 million (€2.3 million). The ground lease has a remaining life of 107 years. This exceeds the estimated useful life of the building as at the acquisition date and hence the building has been accounted for as an owned hotel.</w:t>
      </w:r>
    </w:p>
    <w:p w14:paraId="77A373F4" w14:textId="77777777" w:rsidR="0062640D" w:rsidRDefault="0062640D"/>
    <w:p w14:paraId="54A45751" w14:textId="77777777" w:rsidR="0062640D" w:rsidRDefault="00C12A80">
      <w:r>
        <w:t>The fair value of the identifiable assets and liabilities acquired were as follows:</w:t>
      </w:r>
    </w:p>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8080"/>
        <w:gridCol w:w="1053"/>
        <w:gridCol w:w="899"/>
      </w:tblGrid>
      <w:tr w:rsidR="00052080" w14:paraId="52720A75" w14:textId="77777777" w:rsidTr="00711584">
        <w:trPr>
          <w:trHeight w:val="409"/>
        </w:trPr>
        <w:tc>
          <w:tcPr>
            <w:tcW w:w="8080" w:type="dxa"/>
            <w:tcBorders>
              <w:top w:val="nil"/>
              <w:left w:val="nil"/>
              <w:bottom w:val="nil"/>
              <w:right w:val="nil"/>
            </w:tcBorders>
            <w:tcMar>
              <w:top w:w="56" w:type="dxa"/>
              <w:left w:w="0" w:type="dxa"/>
              <w:bottom w:w="0" w:type="dxa"/>
              <w:right w:w="0" w:type="dxa"/>
            </w:tcMar>
            <w:vAlign w:val="bottom"/>
          </w:tcPr>
          <w:p w14:paraId="3FB6AC0C" w14:textId="77777777" w:rsidR="00052080" w:rsidRDefault="00052080"/>
        </w:tc>
        <w:tc>
          <w:tcPr>
            <w:tcW w:w="1053" w:type="dxa"/>
            <w:tcBorders>
              <w:top w:val="nil"/>
              <w:left w:val="nil"/>
              <w:bottom w:val="nil"/>
              <w:right w:val="nil"/>
            </w:tcBorders>
          </w:tcPr>
          <w:p w14:paraId="19C7FF77" w14:textId="77777777" w:rsidR="00052080" w:rsidRDefault="00E836F6">
            <w:pPr>
              <w:pStyle w:val="Table-Headings"/>
            </w:pPr>
            <w:r>
              <w:t xml:space="preserve">3 </w:t>
            </w:r>
            <w:r w:rsidR="00B14A92">
              <w:t>July 2023</w:t>
            </w:r>
          </w:p>
          <w:p w14:paraId="3687A23F" w14:textId="07BC0B1C" w:rsidR="00B14A92" w:rsidRDefault="00B14A92">
            <w:pPr>
              <w:pStyle w:val="Table-Headings"/>
            </w:pPr>
            <w:r>
              <w:t>Fair value</w:t>
            </w:r>
          </w:p>
        </w:tc>
        <w:tc>
          <w:tcPr>
            <w:tcW w:w="899" w:type="dxa"/>
            <w:tcBorders>
              <w:top w:val="nil"/>
              <w:left w:val="nil"/>
              <w:bottom w:val="nil"/>
              <w:right w:val="nil"/>
            </w:tcBorders>
            <w:tcMar>
              <w:top w:w="56" w:type="dxa"/>
              <w:left w:w="0" w:type="dxa"/>
              <w:bottom w:w="0" w:type="dxa"/>
              <w:right w:w="0" w:type="dxa"/>
            </w:tcMar>
            <w:vAlign w:val="bottom"/>
          </w:tcPr>
          <w:p w14:paraId="5DF3183B" w14:textId="1E6C29AD" w:rsidR="00052080" w:rsidRDefault="00052080">
            <w:pPr>
              <w:pStyle w:val="Table-Headings"/>
            </w:pPr>
            <w:r>
              <w:t xml:space="preserve">3 July 2023 </w:t>
            </w:r>
          </w:p>
          <w:p w14:paraId="51F58166" w14:textId="77777777" w:rsidR="00052080" w:rsidRDefault="00052080">
            <w:pPr>
              <w:pStyle w:val="Table-Headings"/>
            </w:pPr>
            <w:r>
              <w:t>Fair value</w:t>
            </w:r>
          </w:p>
        </w:tc>
      </w:tr>
      <w:tr w:rsidR="00052080" w14:paraId="79194FA9" w14:textId="77777777" w:rsidTr="00711584">
        <w:trPr>
          <w:trHeight w:val="223"/>
        </w:trPr>
        <w:tc>
          <w:tcPr>
            <w:tcW w:w="8080" w:type="dxa"/>
            <w:tcBorders>
              <w:top w:val="nil"/>
              <w:left w:val="nil"/>
              <w:bottom w:val="single" w:sz="6" w:space="0" w:color="FF777C"/>
              <w:right w:val="nil"/>
            </w:tcBorders>
            <w:tcMar>
              <w:top w:w="56" w:type="dxa"/>
              <w:left w:w="0" w:type="dxa"/>
              <w:bottom w:w="85" w:type="dxa"/>
              <w:right w:w="0" w:type="dxa"/>
            </w:tcMar>
            <w:vAlign w:val="bottom"/>
          </w:tcPr>
          <w:p w14:paraId="7C0813A0" w14:textId="77777777" w:rsidR="00052080" w:rsidRDefault="00052080"/>
        </w:tc>
        <w:tc>
          <w:tcPr>
            <w:tcW w:w="1053" w:type="dxa"/>
            <w:tcBorders>
              <w:top w:val="nil"/>
              <w:left w:val="nil"/>
              <w:bottom w:val="single" w:sz="6" w:space="0" w:color="FF777C"/>
              <w:right w:val="nil"/>
            </w:tcBorders>
          </w:tcPr>
          <w:p w14:paraId="460148E4" w14:textId="18E11B27" w:rsidR="00052080" w:rsidRDefault="00B14A92">
            <w:pPr>
              <w:pStyle w:val="Table-Headings"/>
            </w:pPr>
            <w:r>
              <w:t>£’000</w:t>
            </w:r>
          </w:p>
        </w:tc>
        <w:tc>
          <w:tcPr>
            <w:tcW w:w="899" w:type="dxa"/>
            <w:tcBorders>
              <w:top w:val="nil"/>
              <w:left w:val="nil"/>
              <w:bottom w:val="single" w:sz="6" w:space="0" w:color="FF777C"/>
              <w:right w:val="nil"/>
            </w:tcBorders>
            <w:tcMar>
              <w:top w:w="56" w:type="dxa"/>
              <w:left w:w="0" w:type="dxa"/>
              <w:bottom w:w="85" w:type="dxa"/>
              <w:right w:w="0" w:type="dxa"/>
            </w:tcMar>
            <w:vAlign w:val="bottom"/>
          </w:tcPr>
          <w:p w14:paraId="5CE5DB42" w14:textId="23E73FE5" w:rsidR="00052080" w:rsidRDefault="00907779">
            <w:pPr>
              <w:pStyle w:val="Table-Headings"/>
            </w:pPr>
            <w:r>
              <w:t>€</w:t>
            </w:r>
            <w:r w:rsidR="00052080">
              <w:t>’000</w:t>
            </w:r>
          </w:p>
        </w:tc>
      </w:tr>
      <w:tr w:rsidR="00052080" w14:paraId="1145EB64" w14:textId="77777777" w:rsidTr="00711584">
        <w:trPr>
          <w:trHeight w:val="247"/>
        </w:trPr>
        <w:tc>
          <w:tcPr>
            <w:tcW w:w="8080"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5B11FAAF" w14:textId="77777777" w:rsidR="00052080" w:rsidRDefault="00052080">
            <w:pPr>
              <w:pStyle w:val="Heading-2"/>
            </w:pPr>
            <w:r>
              <w:t xml:space="preserve">Recognised amounts of identifiable assets </w:t>
            </w:r>
            <w:proofErr w:type="gramStart"/>
            <w:r>
              <w:t>acquired</w:t>
            </w:r>
            <w:proofErr w:type="gramEnd"/>
            <w:r>
              <w:t xml:space="preserve"> and liabilities assumed</w:t>
            </w:r>
          </w:p>
        </w:tc>
        <w:tc>
          <w:tcPr>
            <w:tcW w:w="1053" w:type="dxa"/>
            <w:tcBorders>
              <w:top w:val="single" w:sz="6" w:space="0" w:color="FF777C"/>
              <w:left w:val="none" w:sz="8" w:space="0" w:color="auto"/>
              <w:bottom w:val="none" w:sz="8" w:space="0" w:color="auto"/>
              <w:right w:val="none" w:sz="8" w:space="0" w:color="auto"/>
            </w:tcBorders>
          </w:tcPr>
          <w:p w14:paraId="34B12396" w14:textId="77777777" w:rsidR="00052080" w:rsidRDefault="00052080"/>
        </w:tc>
        <w:tc>
          <w:tcPr>
            <w:tcW w:w="899"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5BCAE1D1" w14:textId="47557688" w:rsidR="00052080" w:rsidRDefault="00052080"/>
        </w:tc>
      </w:tr>
      <w:tr w:rsidR="00052080" w14:paraId="475EDE86" w14:textId="77777777" w:rsidTr="00711584">
        <w:trPr>
          <w:trHeight w:val="247"/>
        </w:trPr>
        <w:tc>
          <w:tcPr>
            <w:tcW w:w="8080"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2641459" w14:textId="77777777" w:rsidR="00052080" w:rsidRDefault="00052080">
            <w:pPr>
              <w:pStyle w:val="Heading-2"/>
            </w:pPr>
            <w:r>
              <w:t>Non-current assets</w:t>
            </w:r>
          </w:p>
        </w:tc>
        <w:tc>
          <w:tcPr>
            <w:tcW w:w="1053" w:type="dxa"/>
            <w:tcBorders>
              <w:top w:val="none" w:sz="8" w:space="0" w:color="auto"/>
              <w:left w:val="none" w:sz="8" w:space="0" w:color="auto"/>
              <w:bottom w:val="none" w:sz="8" w:space="0" w:color="auto"/>
              <w:right w:val="none" w:sz="8" w:space="0" w:color="auto"/>
            </w:tcBorders>
          </w:tcPr>
          <w:p w14:paraId="28265D34" w14:textId="77777777" w:rsidR="00052080" w:rsidRDefault="00052080"/>
        </w:tc>
        <w:tc>
          <w:tcPr>
            <w:tcW w:w="899"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46D7CF1" w14:textId="436C2DD0" w:rsidR="00052080" w:rsidRDefault="00052080"/>
        </w:tc>
      </w:tr>
      <w:tr w:rsidR="00052080" w14:paraId="1A7048CB" w14:textId="77777777" w:rsidTr="00711584">
        <w:trPr>
          <w:trHeight w:val="223"/>
        </w:trPr>
        <w:tc>
          <w:tcPr>
            <w:tcW w:w="8080"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D8BA4A1" w14:textId="77777777" w:rsidR="00052080" w:rsidRDefault="00052080">
            <w:r>
              <w:t>Hotel property</w:t>
            </w:r>
          </w:p>
        </w:tc>
        <w:tc>
          <w:tcPr>
            <w:tcW w:w="1053" w:type="dxa"/>
            <w:tcBorders>
              <w:top w:val="none" w:sz="8" w:space="0" w:color="auto"/>
              <w:left w:val="none" w:sz="8" w:space="0" w:color="auto"/>
              <w:bottom w:val="none" w:sz="8" w:space="0" w:color="auto"/>
              <w:right w:val="none" w:sz="8" w:space="0" w:color="auto"/>
            </w:tcBorders>
          </w:tcPr>
          <w:p w14:paraId="15F55BE3" w14:textId="4DFFBDCC" w:rsidR="00052080" w:rsidRDefault="00781185">
            <w:pPr>
              <w:pStyle w:val="Accounts"/>
            </w:pPr>
            <w:r>
              <w:t>51,366</w:t>
            </w:r>
          </w:p>
        </w:tc>
        <w:tc>
          <w:tcPr>
            <w:tcW w:w="899"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1378830" w14:textId="798AE7F7" w:rsidR="00052080" w:rsidRDefault="00052080">
            <w:pPr>
              <w:pStyle w:val="Accounts"/>
            </w:pPr>
            <w:r>
              <w:t>5</w:t>
            </w:r>
            <w:r w:rsidR="00907779">
              <w:t>9,742</w:t>
            </w:r>
          </w:p>
        </w:tc>
      </w:tr>
      <w:tr w:rsidR="00052080" w14:paraId="3DEE5105" w14:textId="77777777" w:rsidTr="00711584">
        <w:trPr>
          <w:trHeight w:val="223"/>
        </w:trPr>
        <w:tc>
          <w:tcPr>
            <w:tcW w:w="8080"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60A565CA" w14:textId="77777777" w:rsidR="00052080" w:rsidRDefault="00052080">
            <w:r>
              <w:t>Fixtures, fittings and equipment</w:t>
            </w:r>
          </w:p>
        </w:tc>
        <w:tc>
          <w:tcPr>
            <w:tcW w:w="1053" w:type="dxa"/>
            <w:tcBorders>
              <w:top w:val="none" w:sz="8" w:space="0" w:color="auto"/>
              <w:left w:val="none" w:sz="8" w:space="0" w:color="auto"/>
              <w:bottom w:val="none" w:sz="8" w:space="0" w:color="auto"/>
              <w:right w:val="none" w:sz="8" w:space="0" w:color="auto"/>
            </w:tcBorders>
          </w:tcPr>
          <w:p w14:paraId="52D3B9F0" w14:textId="09DD7D2C" w:rsidR="00052080" w:rsidRDefault="00781185">
            <w:pPr>
              <w:pStyle w:val="Accounts"/>
            </w:pPr>
            <w:r>
              <w:t>2,034</w:t>
            </w:r>
          </w:p>
        </w:tc>
        <w:tc>
          <w:tcPr>
            <w:tcW w:w="899"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43EF29D" w14:textId="60F1DC46" w:rsidR="00052080" w:rsidRDefault="00052080">
            <w:pPr>
              <w:pStyle w:val="Accounts"/>
            </w:pPr>
            <w:r>
              <w:t>2,</w:t>
            </w:r>
            <w:r w:rsidR="00907779">
              <w:t>365</w:t>
            </w:r>
          </w:p>
        </w:tc>
      </w:tr>
      <w:tr w:rsidR="00052080" w14:paraId="7B6562AC" w14:textId="77777777" w:rsidTr="00711584">
        <w:trPr>
          <w:trHeight w:val="223"/>
        </w:trPr>
        <w:tc>
          <w:tcPr>
            <w:tcW w:w="8080"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7AA6FA70" w14:textId="77777777" w:rsidR="00052080" w:rsidRDefault="00052080">
            <w:r>
              <w:t>Right-of-use asset</w:t>
            </w:r>
          </w:p>
        </w:tc>
        <w:tc>
          <w:tcPr>
            <w:tcW w:w="1053" w:type="dxa"/>
            <w:tcBorders>
              <w:top w:val="none" w:sz="8" w:space="0" w:color="auto"/>
              <w:left w:val="none" w:sz="8" w:space="0" w:color="auto"/>
              <w:bottom w:val="none" w:sz="8" w:space="0" w:color="auto"/>
              <w:right w:val="none" w:sz="8" w:space="0" w:color="auto"/>
            </w:tcBorders>
          </w:tcPr>
          <w:p w14:paraId="2ACBDB79" w14:textId="245905CC" w:rsidR="00052080" w:rsidRDefault="00781185">
            <w:pPr>
              <w:pStyle w:val="Accounts"/>
            </w:pPr>
            <w:r>
              <w:t>2,017</w:t>
            </w:r>
          </w:p>
        </w:tc>
        <w:tc>
          <w:tcPr>
            <w:tcW w:w="899"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72E2A1C8" w14:textId="399C58D9" w:rsidR="00052080" w:rsidRDefault="00052080">
            <w:pPr>
              <w:pStyle w:val="Accounts"/>
            </w:pPr>
            <w:r>
              <w:t>2,</w:t>
            </w:r>
            <w:r w:rsidR="00907779">
              <w:t>346</w:t>
            </w:r>
          </w:p>
        </w:tc>
      </w:tr>
      <w:tr w:rsidR="00052080" w14:paraId="19897ED4" w14:textId="77777777" w:rsidTr="00711584">
        <w:trPr>
          <w:trHeight w:val="247"/>
        </w:trPr>
        <w:tc>
          <w:tcPr>
            <w:tcW w:w="8080"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7B876BC6" w14:textId="77777777" w:rsidR="00052080" w:rsidRDefault="00052080">
            <w:pPr>
              <w:pStyle w:val="Heading-2"/>
            </w:pPr>
            <w:r>
              <w:t>Current assets</w:t>
            </w:r>
          </w:p>
        </w:tc>
        <w:tc>
          <w:tcPr>
            <w:tcW w:w="1053" w:type="dxa"/>
            <w:tcBorders>
              <w:top w:val="none" w:sz="8" w:space="0" w:color="auto"/>
              <w:left w:val="none" w:sz="8" w:space="0" w:color="auto"/>
              <w:bottom w:val="none" w:sz="8" w:space="0" w:color="auto"/>
              <w:right w:val="none" w:sz="8" w:space="0" w:color="auto"/>
            </w:tcBorders>
          </w:tcPr>
          <w:p w14:paraId="67224149" w14:textId="77777777" w:rsidR="00052080" w:rsidRDefault="00052080"/>
        </w:tc>
        <w:tc>
          <w:tcPr>
            <w:tcW w:w="899"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53E7E8C" w14:textId="5F695657" w:rsidR="00052080" w:rsidRDefault="00052080"/>
        </w:tc>
      </w:tr>
      <w:tr w:rsidR="00052080" w14:paraId="715D8DAA" w14:textId="77777777" w:rsidTr="00711584">
        <w:trPr>
          <w:trHeight w:val="223"/>
        </w:trPr>
        <w:tc>
          <w:tcPr>
            <w:tcW w:w="8080"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AD346CF" w14:textId="77777777" w:rsidR="00052080" w:rsidRDefault="00052080">
            <w:r>
              <w:t>Net working capital liabilities</w:t>
            </w:r>
          </w:p>
        </w:tc>
        <w:tc>
          <w:tcPr>
            <w:tcW w:w="1053" w:type="dxa"/>
            <w:tcBorders>
              <w:top w:val="none" w:sz="8" w:space="0" w:color="auto"/>
              <w:left w:val="none" w:sz="8" w:space="0" w:color="auto"/>
              <w:bottom w:val="none" w:sz="8" w:space="0" w:color="auto"/>
              <w:right w:val="none" w:sz="8" w:space="0" w:color="auto"/>
            </w:tcBorders>
          </w:tcPr>
          <w:p w14:paraId="26EC0698" w14:textId="6D32A6E8" w:rsidR="00052080" w:rsidRDefault="00781185">
            <w:pPr>
              <w:pStyle w:val="Accounts-Bracket"/>
            </w:pPr>
            <w:r>
              <w:t>(21)</w:t>
            </w:r>
          </w:p>
        </w:tc>
        <w:tc>
          <w:tcPr>
            <w:tcW w:w="899"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26504B18" w14:textId="3E095A7E" w:rsidR="00052080" w:rsidRDefault="00052080">
            <w:pPr>
              <w:pStyle w:val="Accounts-Bracket"/>
            </w:pPr>
            <w:r>
              <w:t>(2</w:t>
            </w:r>
            <w:r w:rsidR="00907779">
              <w:t>4</w:t>
            </w:r>
            <w:r>
              <w:t>)</w:t>
            </w:r>
          </w:p>
        </w:tc>
      </w:tr>
      <w:tr w:rsidR="00052080" w14:paraId="20CF3A24" w14:textId="77777777" w:rsidTr="00711584">
        <w:trPr>
          <w:trHeight w:val="235"/>
        </w:trPr>
        <w:tc>
          <w:tcPr>
            <w:tcW w:w="8080"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2D10AA92" w14:textId="77777777" w:rsidR="00052080" w:rsidRDefault="00052080">
            <w:pPr>
              <w:pStyle w:val="Heading-2"/>
            </w:pPr>
            <w:r>
              <w:t>Non-current liabilities</w:t>
            </w:r>
          </w:p>
        </w:tc>
        <w:tc>
          <w:tcPr>
            <w:tcW w:w="1053" w:type="dxa"/>
            <w:tcBorders>
              <w:top w:val="none" w:sz="8" w:space="0" w:color="auto"/>
              <w:left w:val="none" w:sz="8" w:space="0" w:color="auto"/>
              <w:bottom w:val="none" w:sz="8" w:space="0" w:color="auto"/>
              <w:right w:val="none" w:sz="8" w:space="0" w:color="auto"/>
            </w:tcBorders>
          </w:tcPr>
          <w:p w14:paraId="77957D32" w14:textId="77777777" w:rsidR="00052080" w:rsidRDefault="00052080"/>
        </w:tc>
        <w:tc>
          <w:tcPr>
            <w:tcW w:w="899"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736C6798" w14:textId="70152E13" w:rsidR="00052080" w:rsidRDefault="00052080"/>
        </w:tc>
      </w:tr>
      <w:tr w:rsidR="00052080" w14:paraId="4C55DC98" w14:textId="77777777" w:rsidTr="00711584">
        <w:trPr>
          <w:trHeight w:val="223"/>
        </w:trPr>
        <w:tc>
          <w:tcPr>
            <w:tcW w:w="8080"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8F63D96" w14:textId="77777777" w:rsidR="00052080" w:rsidRDefault="00052080">
            <w:r>
              <w:t>Lease liability</w:t>
            </w:r>
          </w:p>
        </w:tc>
        <w:tc>
          <w:tcPr>
            <w:tcW w:w="1053" w:type="dxa"/>
            <w:tcBorders>
              <w:top w:val="none" w:sz="8" w:space="0" w:color="auto"/>
              <w:left w:val="none" w:sz="8" w:space="0" w:color="auto"/>
              <w:bottom w:val="none" w:sz="8" w:space="0" w:color="auto"/>
              <w:right w:val="none" w:sz="8" w:space="0" w:color="auto"/>
            </w:tcBorders>
          </w:tcPr>
          <w:p w14:paraId="24FF5998" w14:textId="44083B7D" w:rsidR="00052080" w:rsidRDefault="00781185">
            <w:pPr>
              <w:pStyle w:val="Accounts-Bracket"/>
            </w:pPr>
            <w:r>
              <w:t>(1,997)</w:t>
            </w:r>
          </w:p>
        </w:tc>
        <w:tc>
          <w:tcPr>
            <w:tcW w:w="899"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29A57A69" w14:textId="6E81AE58" w:rsidR="00052080" w:rsidRDefault="00052080">
            <w:pPr>
              <w:pStyle w:val="Accounts-Bracket"/>
            </w:pPr>
            <w:r>
              <w:t>(</w:t>
            </w:r>
            <w:r w:rsidR="00907779">
              <w:t>2,323</w:t>
            </w:r>
            <w:r>
              <w:t>)</w:t>
            </w:r>
          </w:p>
        </w:tc>
      </w:tr>
      <w:tr w:rsidR="00052080" w14:paraId="007C04B5" w14:textId="77777777" w:rsidTr="00711584">
        <w:trPr>
          <w:trHeight w:val="247"/>
        </w:trPr>
        <w:tc>
          <w:tcPr>
            <w:tcW w:w="8080"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4FC93E1" w14:textId="77777777" w:rsidR="00052080" w:rsidRDefault="00052080">
            <w:pPr>
              <w:pStyle w:val="Heading-2"/>
            </w:pPr>
            <w:r>
              <w:t>Current liabilities</w:t>
            </w:r>
          </w:p>
        </w:tc>
        <w:tc>
          <w:tcPr>
            <w:tcW w:w="1053" w:type="dxa"/>
            <w:tcBorders>
              <w:top w:val="none" w:sz="8" w:space="0" w:color="auto"/>
              <w:left w:val="none" w:sz="8" w:space="0" w:color="auto"/>
              <w:bottom w:val="none" w:sz="8" w:space="0" w:color="auto"/>
              <w:right w:val="none" w:sz="8" w:space="0" w:color="auto"/>
            </w:tcBorders>
          </w:tcPr>
          <w:p w14:paraId="22DA517D" w14:textId="77777777" w:rsidR="00052080" w:rsidRDefault="00052080"/>
        </w:tc>
        <w:tc>
          <w:tcPr>
            <w:tcW w:w="899"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38C1DE5A" w14:textId="6C3AB262" w:rsidR="00052080" w:rsidRDefault="00052080"/>
        </w:tc>
      </w:tr>
      <w:tr w:rsidR="00052080" w14:paraId="2E4D63E1" w14:textId="77777777" w:rsidTr="00711584">
        <w:trPr>
          <w:trHeight w:val="223"/>
        </w:trPr>
        <w:tc>
          <w:tcPr>
            <w:tcW w:w="8080"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30CD3759" w14:textId="77777777" w:rsidR="00052080" w:rsidRDefault="00052080">
            <w:r>
              <w:t>Lease liability</w:t>
            </w:r>
          </w:p>
        </w:tc>
        <w:tc>
          <w:tcPr>
            <w:tcW w:w="1053" w:type="dxa"/>
            <w:tcBorders>
              <w:top w:val="none" w:sz="8" w:space="0" w:color="auto"/>
              <w:left w:val="none" w:sz="8" w:space="0" w:color="auto"/>
              <w:bottom w:val="single" w:sz="2" w:space="0" w:color="FF777C"/>
              <w:right w:val="none" w:sz="8" w:space="0" w:color="auto"/>
            </w:tcBorders>
          </w:tcPr>
          <w:p w14:paraId="7FBC1FEA" w14:textId="18198948" w:rsidR="00052080" w:rsidRDefault="00781185">
            <w:pPr>
              <w:pStyle w:val="Accounts-Bracket"/>
            </w:pPr>
            <w:r>
              <w:t>(20)</w:t>
            </w:r>
          </w:p>
        </w:tc>
        <w:tc>
          <w:tcPr>
            <w:tcW w:w="899"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4BD10F86" w14:textId="000A474E" w:rsidR="00052080" w:rsidRDefault="00052080">
            <w:pPr>
              <w:pStyle w:val="Accounts-Bracket"/>
            </w:pPr>
            <w:r>
              <w:t>(2</w:t>
            </w:r>
            <w:r w:rsidR="00781185">
              <w:t>3</w:t>
            </w:r>
            <w:r>
              <w:t>)</w:t>
            </w:r>
          </w:p>
        </w:tc>
      </w:tr>
      <w:tr w:rsidR="00052080" w14:paraId="2D861E88" w14:textId="77777777" w:rsidTr="00711584">
        <w:trPr>
          <w:trHeight w:val="247"/>
        </w:trPr>
        <w:tc>
          <w:tcPr>
            <w:tcW w:w="8080" w:type="dxa"/>
            <w:tcBorders>
              <w:top w:val="single" w:sz="2" w:space="0" w:color="FF777C"/>
              <w:left w:val="nil"/>
              <w:bottom w:val="single" w:sz="2" w:space="0" w:color="FF777C"/>
              <w:right w:val="nil"/>
            </w:tcBorders>
            <w:tcMar>
              <w:top w:w="56" w:type="dxa"/>
              <w:left w:w="0" w:type="dxa"/>
              <w:bottom w:w="85" w:type="dxa"/>
              <w:right w:w="0" w:type="dxa"/>
            </w:tcMar>
            <w:vAlign w:val="bottom"/>
          </w:tcPr>
          <w:p w14:paraId="69FD88F3" w14:textId="77777777" w:rsidR="00052080" w:rsidRDefault="00052080">
            <w:pPr>
              <w:pStyle w:val="Heading-2"/>
            </w:pPr>
            <w:r>
              <w:t>Total identifiable net assets</w:t>
            </w:r>
          </w:p>
        </w:tc>
        <w:tc>
          <w:tcPr>
            <w:tcW w:w="1053" w:type="dxa"/>
            <w:tcBorders>
              <w:top w:val="single" w:sz="2" w:space="0" w:color="FF777C"/>
              <w:left w:val="nil"/>
              <w:bottom w:val="single" w:sz="2" w:space="0" w:color="FF777C"/>
              <w:right w:val="nil"/>
            </w:tcBorders>
          </w:tcPr>
          <w:p w14:paraId="1DC2B542" w14:textId="627EFB5D" w:rsidR="00052080" w:rsidRDefault="00781185">
            <w:pPr>
              <w:pStyle w:val="Accounts"/>
            </w:pPr>
            <w:r>
              <w:t>53,379</w:t>
            </w:r>
          </w:p>
        </w:tc>
        <w:tc>
          <w:tcPr>
            <w:tcW w:w="899" w:type="dxa"/>
            <w:tcBorders>
              <w:top w:val="single" w:sz="2" w:space="0" w:color="FF777C"/>
              <w:left w:val="nil"/>
              <w:bottom w:val="single" w:sz="2" w:space="0" w:color="FF777C"/>
              <w:right w:val="nil"/>
            </w:tcBorders>
            <w:tcMar>
              <w:top w:w="56" w:type="dxa"/>
              <w:left w:w="0" w:type="dxa"/>
              <w:bottom w:w="85" w:type="dxa"/>
              <w:right w:w="0" w:type="dxa"/>
            </w:tcMar>
            <w:vAlign w:val="bottom"/>
          </w:tcPr>
          <w:p w14:paraId="3E7BC6CB" w14:textId="255E2D04" w:rsidR="00052080" w:rsidRDefault="00781185">
            <w:pPr>
              <w:pStyle w:val="Accounts"/>
            </w:pPr>
            <w:r>
              <w:t>62,083</w:t>
            </w:r>
          </w:p>
        </w:tc>
      </w:tr>
      <w:tr w:rsidR="00052080" w14:paraId="7FF7648D" w14:textId="77777777" w:rsidTr="00711584">
        <w:trPr>
          <w:trHeight w:val="259"/>
        </w:trPr>
        <w:tc>
          <w:tcPr>
            <w:tcW w:w="8080" w:type="dxa"/>
            <w:tcBorders>
              <w:top w:val="single" w:sz="2" w:space="0" w:color="FF777C"/>
              <w:left w:val="nil"/>
              <w:bottom w:val="single" w:sz="6" w:space="0" w:color="FF777C"/>
              <w:right w:val="nil"/>
            </w:tcBorders>
            <w:tcMar>
              <w:top w:w="56" w:type="dxa"/>
              <w:left w:w="0" w:type="dxa"/>
              <w:bottom w:w="85" w:type="dxa"/>
              <w:right w:w="0" w:type="dxa"/>
            </w:tcMar>
            <w:vAlign w:val="bottom"/>
          </w:tcPr>
          <w:p w14:paraId="0D4E1782" w14:textId="77777777" w:rsidR="00052080" w:rsidRDefault="00052080">
            <w:pPr>
              <w:pStyle w:val="Heading-2"/>
            </w:pPr>
            <w:r>
              <w:t>Total cash consideration</w:t>
            </w:r>
          </w:p>
        </w:tc>
        <w:tc>
          <w:tcPr>
            <w:tcW w:w="1053" w:type="dxa"/>
            <w:tcBorders>
              <w:top w:val="single" w:sz="2" w:space="0" w:color="FF777C"/>
              <w:left w:val="nil"/>
              <w:bottom w:val="single" w:sz="6" w:space="0" w:color="FF777C"/>
              <w:right w:val="nil"/>
            </w:tcBorders>
          </w:tcPr>
          <w:p w14:paraId="03261466" w14:textId="746B7C21" w:rsidR="00052080" w:rsidRDefault="00781185">
            <w:pPr>
              <w:pStyle w:val="Accounts"/>
            </w:pPr>
            <w:r>
              <w:t>53,379</w:t>
            </w:r>
          </w:p>
        </w:tc>
        <w:tc>
          <w:tcPr>
            <w:tcW w:w="899" w:type="dxa"/>
            <w:tcBorders>
              <w:top w:val="single" w:sz="2" w:space="0" w:color="FF777C"/>
              <w:left w:val="nil"/>
              <w:bottom w:val="single" w:sz="6" w:space="0" w:color="FF777C"/>
              <w:right w:val="nil"/>
            </w:tcBorders>
            <w:tcMar>
              <w:top w:w="56" w:type="dxa"/>
              <w:left w:w="0" w:type="dxa"/>
              <w:bottom w:w="85" w:type="dxa"/>
              <w:right w:w="0" w:type="dxa"/>
            </w:tcMar>
            <w:vAlign w:val="bottom"/>
          </w:tcPr>
          <w:p w14:paraId="07E89060" w14:textId="28F1B657" w:rsidR="00052080" w:rsidRDefault="00781185">
            <w:pPr>
              <w:pStyle w:val="Accounts"/>
            </w:pPr>
            <w:r>
              <w:t>62,083</w:t>
            </w:r>
          </w:p>
        </w:tc>
      </w:tr>
    </w:tbl>
    <w:p w14:paraId="50D95F78" w14:textId="77777777" w:rsidR="0062640D" w:rsidRDefault="0062640D"/>
    <w:p w14:paraId="3E306E2A" w14:textId="77777777" w:rsidR="0062640D" w:rsidRDefault="00C12A80">
      <w:r>
        <w:t xml:space="preserve">The acquisition method of accounting has been used to consolidate the business acquired in the Group’s consolidated financial statements. No goodwill has been recognised on acquisition as the fair value of the net assets acquired equated to the consideration paid. </w:t>
      </w:r>
    </w:p>
    <w:p w14:paraId="62FF067D" w14:textId="77777777" w:rsidR="0062640D" w:rsidRDefault="0062640D"/>
    <w:p w14:paraId="6CA8E351" w14:textId="77777777" w:rsidR="0062640D" w:rsidRDefault="00C12A80">
      <w:r>
        <w:t xml:space="preserve">Acquisition-related costs of £3.3 million (€3.8 million) were charged to administrative expenses in profit or loss in respect of this business combination. </w:t>
      </w:r>
    </w:p>
    <w:p w14:paraId="26258893" w14:textId="77777777" w:rsidR="0062640D" w:rsidRDefault="0062640D"/>
    <w:p w14:paraId="08F52355" w14:textId="77777777" w:rsidR="0062640D" w:rsidRDefault="00C12A80">
      <w:pPr>
        <w:pStyle w:val="Heading-2"/>
      </w:pPr>
      <w:r>
        <w:t>Acquisition of Clayton Hotel Amsterdam American</w:t>
      </w:r>
    </w:p>
    <w:p w14:paraId="3F5922A2" w14:textId="77777777" w:rsidR="0062640D" w:rsidRDefault="00C12A80">
      <w:r>
        <w:t xml:space="preserve">On 3 October 2023, the Group acquired 100% of the share capital of American Hotel </w:t>
      </w:r>
      <w:proofErr w:type="spellStart"/>
      <w:r>
        <w:t>Exploitatie</w:t>
      </w:r>
      <w:proofErr w:type="spellEnd"/>
      <w:r>
        <w:t xml:space="preserve"> BV which holds the operational lease of the Hard Rock Hotel Amsterdam American, now trading as Clayton Hotel Amsterdam American, for cash consideration of €28.3 million and assumed net working capital liabilities of €1.2 million.</w:t>
      </w:r>
    </w:p>
    <w:p w14:paraId="599287E0" w14:textId="77777777" w:rsidR="0062640D" w:rsidRDefault="0062640D"/>
    <w:p w14:paraId="65739336" w14:textId="77777777" w:rsidR="0062640D" w:rsidRDefault="00C12A80">
      <w:r>
        <w:t>The remaining lease term is 18 years, with two 5-year tenant extension options. This resulted in the recognition of a lease liability of €41.0 million and a right-of-use asset of €41.0 million.</w:t>
      </w:r>
    </w:p>
    <w:p w14:paraId="1DE35B9B" w14:textId="77777777" w:rsidR="0062640D" w:rsidRDefault="0062640D"/>
    <w:p w14:paraId="363E0CBF" w14:textId="77777777" w:rsidR="0062640D" w:rsidRDefault="00C12A80">
      <w:r>
        <w:t>The fair value of the identifiable assets and liabilities acquired were as follows:</w:t>
      </w:r>
    </w:p>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8947"/>
        <w:gridCol w:w="1133"/>
      </w:tblGrid>
      <w:tr w:rsidR="0062640D" w14:paraId="3317BF78" w14:textId="77777777">
        <w:tc>
          <w:tcPr>
            <w:tcW w:w="8947" w:type="dxa"/>
            <w:tcBorders>
              <w:top w:val="nil"/>
              <w:left w:val="nil"/>
              <w:bottom w:val="nil"/>
              <w:right w:val="nil"/>
            </w:tcBorders>
            <w:tcMar>
              <w:top w:w="56" w:type="dxa"/>
              <w:left w:w="0" w:type="dxa"/>
              <w:bottom w:w="0" w:type="dxa"/>
              <w:right w:w="0" w:type="dxa"/>
            </w:tcMar>
            <w:vAlign w:val="bottom"/>
          </w:tcPr>
          <w:p w14:paraId="057BC126" w14:textId="77777777" w:rsidR="0062640D" w:rsidRDefault="0062640D"/>
        </w:tc>
        <w:tc>
          <w:tcPr>
            <w:tcW w:w="1133" w:type="dxa"/>
            <w:tcBorders>
              <w:top w:val="nil"/>
              <w:left w:val="nil"/>
              <w:bottom w:val="nil"/>
              <w:right w:val="nil"/>
            </w:tcBorders>
            <w:tcMar>
              <w:top w:w="56" w:type="dxa"/>
              <w:left w:w="0" w:type="dxa"/>
              <w:bottom w:w="0" w:type="dxa"/>
              <w:right w:w="0" w:type="dxa"/>
            </w:tcMar>
            <w:vAlign w:val="bottom"/>
          </w:tcPr>
          <w:p w14:paraId="77AD8666" w14:textId="77777777" w:rsidR="0062640D" w:rsidRDefault="00C12A80">
            <w:pPr>
              <w:pStyle w:val="Table-Headings"/>
            </w:pPr>
            <w:r>
              <w:t>3 October 2023</w:t>
            </w:r>
          </w:p>
          <w:p w14:paraId="5709EEB7" w14:textId="77777777" w:rsidR="0062640D" w:rsidRDefault="00C12A80">
            <w:pPr>
              <w:pStyle w:val="Table-Headings"/>
            </w:pPr>
            <w:r>
              <w:t xml:space="preserve">Fair value </w:t>
            </w:r>
          </w:p>
        </w:tc>
      </w:tr>
      <w:tr w:rsidR="0062640D" w14:paraId="7ADF21B7" w14:textId="77777777">
        <w:tc>
          <w:tcPr>
            <w:tcW w:w="8947" w:type="dxa"/>
            <w:tcBorders>
              <w:top w:val="nil"/>
              <w:left w:val="nil"/>
              <w:bottom w:val="single" w:sz="6" w:space="0" w:color="FF777C"/>
              <w:right w:val="nil"/>
            </w:tcBorders>
            <w:tcMar>
              <w:top w:w="56" w:type="dxa"/>
              <w:left w:w="0" w:type="dxa"/>
              <w:bottom w:w="85" w:type="dxa"/>
              <w:right w:w="0" w:type="dxa"/>
            </w:tcMar>
            <w:vAlign w:val="bottom"/>
          </w:tcPr>
          <w:p w14:paraId="31192208" w14:textId="77777777" w:rsidR="0062640D" w:rsidRDefault="0062640D"/>
        </w:tc>
        <w:tc>
          <w:tcPr>
            <w:tcW w:w="1133" w:type="dxa"/>
            <w:tcBorders>
              <w:top w:val="nil"/>
              <w:left w:val="nil"/>
              <w:bottom w:val="single" w:sz="6" w:space="0" w:color="FF777C"/>
              <w:right w:val="nil"/>
            </w:tcBorders>
            <w:tcMar>
              <w:top w:w="56" w:type="dxa"/>
              <w:left w:w="0" w:type="dxa"/>
              <w:bottom w:w="85" w:type="dxa"/>
              <w:right w:w="0" w:type="dxa"/>
            </w:tcMar>
            <w:vAlign w:val="bottom"/>
          </w:tcPr>
          <w:p w14:paraId="2C3B52AB" w14:textId="77777777" w:rsidR="0062640D" w:rsidRDefault="00C12A80">
            <w:pPr>
              <w:pStyle w:val="Table-Headings"/>
            </w:pPr>
            <w:r>
              <w:t>€’000</w:t>
            </w:r>
          </w:p>
        </w:tc>
      </w:tr>
      <w:tr w:rsidR="0062640D" w14:paraId="522B729C" w14:textId="77777777">
        <w:tc>
          <w:tcPr>
            <w:tcW w:w="8947"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5D1D6124" w14:textId="77777777" w:rsidR="0062640D" w:rsidRDefault="00C12A80">
            <w:pPr>
              <w:pStyle w:val="Heading-2"/>
            </w:pPr>
            <w:r>
              <w:t xml:space="preserve">Recognised amounts of identifiable assets </w:t>
            </w:r>
            <w:proofErr w:type="gramStart"/>
            <w:r>
              <w:t>acquired</w:t>
            </w:r>
            <w:proofErr w:type="gramEnd"/>
            <w:r>
              <w:t xml:space="preserve"> and liabilities assumed</w:t>
            </w:r>
          </w:p>
        </w:tc>
        <w:tc>
          <w:tcPr>
            <w:tcW w:w="113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4B247F10" w14:textId="77777777" w:rsidR="0062640D" w:rsidRDefault="0062640D"/>
        </w:tc>
      </w:tr>
      <w:tr w:rsidR="0062640D" w14:paraId="383C5C0D" w14:textId="77777777">
        <w:tc>
          <w:tcPr>
            <w:tcW w:w="8947"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67D8B6CB" w14:textId="77777777" w:rsidR="0062640D" w:rsidRDefault="00C12A80">
            <w:pPr>
              <w:pStyle w:val="Heading-2"/>
            </w:pPr>
            <w:r>
              <w:t>Non-current assets</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7FE967B4" w14:textId="77777777" w:rsidR="0062640D" w:rsidRDefault="0062640D"/>
        </w:tc>
      </w:tr>
      <w:tr w:rsidR="0062640D" w14:paraId="1D84A559" w14:textId="77777777">
        <w:tc>
          <w:tcPr>
            <w:tcW w:w="8947"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7EA43BB5" w14:textId="77777777" w:rsidR="0062640D" w:rsidRDefault="00C12A80">
            <w:r>
              <w:t>Right-of-use asset</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7D93788D" w14:textId="77777777" w:rsidR="0062640D" w:rsidRDefault="00C12A80">
            <w:pPr>
              <w:pStyle w:val="Accounts"/>
            </w:pPr>
            <w:r>
              <w:t>41,036</w:t>
            </w:r>
          </w:p>
        </w:tc>
      </w:tr>
      <w:tr w:rsidR="0062640D" w14:paraId="05DB7648" w14:textId="77777777">
        <w:tc>
          <w:tcPr>
            <w:tcW w:w="8947"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04C7FF02" w14:textId="77777777" w:rsidR="0062640D" w:rsidRDefault="00C12A80">
            <w:r>
              <w:t>Fixtures, fittings and equipment</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078EA1A2" w14:textId="77777777" w:rsidR="0062640D" w:rsidRDefault="00C12A80">
            <w:pPr>
              <w:pStyle w:val="Accounts"/>
            </w:pPr>
            <w:r>
              <w:t>6,065</w:t>
            </w:r>
          </w:p>
        </w:tc>
      </w:tr>
      <w:tr w:rsidR="0062640D" w14:paraId="04BFCD68" w14:textId="77777777">
        <w:tc>
          <w:tcPr>
            <w:tcW w:w="8947"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F5564FF" w14:textId="77777777" w:rsidR="0062640D" w:rsidRDefault="00C12A80">
            <w:r>
              <w:t>Deferred tax asset</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A10775C" w14:textId="77777777" w:rsidR="0062640D" w:rsidRDefault="00C12A80">
            <w:pPr>
              <w:pStyle w:val="Accounts"/>
            </w:pPr>
            <w:r>
              <w:t>10,587</w:t>
            </w:r>
          </w:p>
        </w:tc>
      </w:tr>
      <w:tr w:rsidR="0062640D" w14:paraId="42B76D49" w14:textId="77777777">
        <w:tc>
          <w:tcPr>
            <w:tcW w:w="8947"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D37BF1C" w14:textId="77777777" w:rsidR="0062640D" w:rsidRDefault="00C12A80">
            <w:pPr>
              <w:pStyle w:val="Heading-2"/>
            </w:pPr>
            <w:r>
              <w:t>Current assets</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6EAB7514" w14:textId="77777777" w:rsidR="0062640D" w:rsidRDefault="0062640D"/>
        </w:tc>
      </w:tr>
      <w:tr w:rsidR="0062640D" w14:paraId="24FEB3EE" w14:textId="77777777">
        <w:tc>
          <w:tcPr>
            <w:tcW w:w="8947"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1E86E73" w14:textId="77777777" w:rsidR="0062640D" w:rsidRDefault="00C12A80">
            <w:r>
              <w:t>Trade and other receivables</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CE1FEF5" w14:textId="77777777" w:rsidR="0062640D" w:rsidRDefault="00C12A80">
            <w:pPr>
              <w:pStyle w:val="Accounts"/>
            </w:pPr>
            <w:r>
              <w:t>974</w:t>
            </w:r>
          </w:p>
        </w:tc>
      </w:tr>
      <w:tr w:rsidR="0062640D" w14:paraId="5A1E2F54" w14:textId="77777777">
        <w:tc>
          <w:tcPr>
            <w:tcW w:w="8947"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5A496A68" w14:textId="77777777" w:rsidR="0062640D" w:rsidRDefault="00C12A80">
            <w:r>
              <w:t>Stock</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D83F36B" w14:textId="77777777" w:rsidR="0062640D" w:rsidRDefault="00C12A80">
            <w:pPr>
              <w:pStyle w:val="Accounts"/>
            </w:pPr>
            <w:r>
              <w:t>98</w:t>
            </w:r>
          </w:p>
        </w:tc>
      </w:tr>
      <w:tr w:rsidR="0062640D" w14:paraId="09B7BB5E" w14:textId="77777777">
        <w:tc>
          <w:tcPr>
            <w:tcW w:w="8947"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530A9317" w14:textId="77777777" w:rsidR="0062640D" w:rsidRDefault="00C12A80">
            <w:r>
              <w:t>Cash</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57B9B092" w14:textId="77777777" w:rsidR="0062640D" w:rsidRDefault="00C12A80">
            <w:pPr>
              <w:pStyle w:val="Accounts"/>
            </w:pPr>
            <w:r>
              <w:t>8</w:t>
            </w:r>
          </w:p>
        </w:tc>
      </w:tr>
      <w:tr w:rsidR="0062640D" w14:paraId="3D4B469B" w14:textId="77777777">
        <w:tc>
          <w:tcPr>
            <w:tcW w:w="8947"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689BAEF5" w14:textId="77777777" w:rsidR="0062640D" w:rsidRDefault="00C12A80">
            <w:pPr>
              <w:pStyle w:val="Heading-2"/>
            </w:pPr>
            <w:r>
              <w:t>Non-current liabilities</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3793D47B" w14:textId="23C5321E" w:rsidR="0062640D" w:rsidRDefault="0062640D">
            <w:pPr>
              <w:pStyle w:val="Accounts-Bracket"/>
            </w:pPr>
          </w:p>
        </w:tc>
      </w:tr>
      <w:tr w:rsidR="0062640D" w14:paraId="3253AA33" w14:textId="77777777">
        <w:tc>
          <w:tcPr>
            <w:tcW w:w="8947"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0BE06C92" w14:textId="77777777" w:rsidR="0062640D" w:rsidRPr="003A2E74" w:rsidRDefault="00C12A80" w:rsidP="003A2E74">
            <w:r w:rsidRPr="003A2E74">
              <w:t>Deferred tax liability</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3BB1E2B9" w14:textId="59FDCD7D" w:rsidR="0062640D" w:rsidRDefault="00C12A80">
            <w:pPr>
              <w:pStyle w:val="Accounts-Bracket"/>
            </w:pPr>
            <w:r>
              <w:t>(</w:t>
            </w:r>
            <w:r w:rsidR="003916DE">
              <w:t>10,587</w:t>
            </w:r>
            <w:r>
              <w:t>)</w:t>
            </w:r>
          </w:p>
        </w:tc>
      </w:tr>
      <w:tr w:rsidR="0062640D" w14:paraId="64911521" w14:textId="77777777">
        <w:tc>
          <w:tcPr>
            <w:tcW w:w="8947"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EB53BF2" w14:textId="77777777" w:rsidR="0062640D" w:rsidRDefault="00C12A80">
            <w:r>
              <w:t>Lease liability</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9C98F74" w14:textId="1F7DAFE0" w:rsidR="0062640D" w:rsidRDefault="003916DE" w:rsidP="003916DE">
            <w:pPr>
              <w:pStyle w:val="Accounts-Bracket"/>
            </w:pPr>
            <w:r>
              <w:t>(40,066)</w:t>
            </w:r>
          </w:p>
        </w:tc>
      </w:tr>
      <w:tr w:rsidR="0062640D" w14:paraId="44C0288C" w14:textId="77777777">
        <w:tc>
          <w:tcPr>
            <w:tcW w:w="8947"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2CE47179" w14:textId="77777777" w:rsidR="0062640D" w:rsidRDefault="00C12A80">
            <w:pPr>
              <w:pStyle w:val="Heading-2"/>
            </w:pPr>
            <w:r>
              <w:t>Current liabilities</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52E20AAB" w14:textId="77777777" w:rsidR="0062640D" w:rsidRDefault="00C12A80">
            <w:pPr>
              <w:pStyle w:val="Accounts-Bracket"/>
            </w:pPr>
            <w:r>
              <w:t>(1,962)</w:t>
            </w:r>
          </w:p>
        </w:tc>
      </w:tr>
      <w:tr w:rsidR="0062640D" w14:paraId="019C9979" w14:textId="77777777">
        <w:tc>
          <w:tcPr>
            <w:tcW w:w="8947"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AE06851" w14:textId="77777777" w:rsidR="0062640D" w:rsidRDefault="00C12A80">
            <w:r>
              <w:t>Trade and other payables</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2E0E9CA8" w14:textId="77777777" w:rsidR="0062640D" w:rsidRDefault="00C12A80">
            <w:pPr>
              <w:pStyle w:val="Accounts-Bracket"/>
            </w:pPr>
            <w:r>
              <w:t>(970)</w:t>
            </w:r>
          </w:p>
        </w:tc>
      </w:tr>
      <w:tr w:rsidR="0062640D" w14:paraId="4DB9C8C2" w14:textId="77777777">
        <w:tc>
          <w:tcPr>
            <w:tcW w:w="8947"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6FB87286" w14:textId="77777777" w:rsidR="0062640D" w:rsidRDefault="00C12A80">
            <w:r>
              <w:t>Lease liability</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20E6808" w14:textId="77777777" w:rsidR="0062640D" w:rsidRDefault="00C12A80">
            <w:pPr>
              <w:pStyle w:val="Accounts-Bracket"/>
            </w:pPr>
            <w:r>
              <w:t>(264)</w:t>
            </w:r>
          </w:p>
        </w:tc>
      </w:tr>
      <w:tr w:rsidR="0062640D" w14:paraId="46BE7AF6" w14:textId="77777777">
        <w:tc>
          <w:tcPr>
            <w:tcW w:w="8947"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6B5789C0" w14:textId="77777777" w:rsidR="0062640D" w:rsidRDefault="00C12A80">
            <w:r>
              <w:t>Accruals</w:t>
            </w:r>
          </w:p>
        </w:tc>
        <w:tc>
          <w:tcPr>
            <w:tcW w:w="113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184C6B56" w14:textId="77777777" w:rsidR="0062640D" w:rsidRDefault="00C12A80">
            <w:pPr>
              <w:pStyle w:val="Accounts"/>
            </w:pPr>
            <w:r>
              <w:t>41,036</w:t>
            </w:r>
          </w:p>
        </w:tc>
      </w:tr>
      <w:tr w:rsidR="0062640D" w14:paraId="11633664" w14:textId="77777777">
        <w:tc>
          <w:tcPr>
            <w:tcW w:w="8947" w:type="dxa"/>
            <w:tcBorders>
              <w:top w:val="single" w:sz="2" w:space="0" w:color="FF777C"/>
              <w:left w:val="nil"/>
              <w:bottom w:val="single" w:sz="2" w:space="0" w:color="FF777C"/>
              <w:right w:val="nil"/>
            </w:tcBorders>
            <w:tcMar>
              <w:top w:w="56" w:type="dxa"/>
              <w:left w:w="0" w:type="dxa"/>
              <w:bottom w:w="85" w:type="dxa"/>
              <w:right w:w="0" w:type="dxa"/>
            </w:tcMar>
            <w:vAlign w:val="bottom"/>
          </w:tcPr>
          <w:p w14:paraId="14801C77" w14:textId="77777777" w:rsidR="0062640D" w:rsidRDefault="00C12A80">
            <w:pPr>
              <w:pStyle w:val="Heading-2"/>
            </w:pPr>
            <w:r>
              <w:t>Total identifiable net assets</w:t>
            </w:r>
          </w:p>
        </w:tc>
        <w:tc>
          <w:tcPr>
            <w:tcW w:w="1133" w:type="dxa"/>
            <w:tcBorders>
              <w:top w:val="single" w:sz="2" w:space="0" w:color="FF777C"/>
              <w:left w:val="nil"/>
              <w:bottom w:val="single" w:sz="2" w:space="0" w:color="FF777C"/>
              <w:right w:val="nil"/>
            </w:tcBorders>
            <w:tcMar>
              <w:top w:w="56" w:type="dxa"/>
              <w:left w:w="0" w:type="dxa"/>
              <w:bottom w:w="85" w:type="dxa"/>
              <w:right w:w="0" w:type="dxa"/>
            </w:tcMar>
            <w:vAlign w:val="bottom"/>
          </w:tcPr>
          <w:p w14:paraId="11D0C6B1" w14:textId="77777777" w:rsidR="0062640D" w:rsidRDefault="00C12A80">
            <w:pPr>
              <w:pStyle w:val="AccountsBold"/>
            </w:pPr>
            <w:r>
              <w:t>4,919</w:t>
            </w:r>
          </w:p>
        </w:tc>
      </w:tr>
      <w:tr w:rsidR="0062640D" w14:paraId="44569207" w14:textId="77777777">
        <w:tc>
          <w:tcPr>
            <w:tcW w:w="8947" w:type="dxa"/>
            <w:tcBorders>
              <w:top w:val="single" w:sz="2" w:space="0" w:color="FF777C"/>
              <w:left w:val="nil"/>
              <w:bottom w:val="single" w:sz="2" w:space="0" w:color="FF777C"/>
              <w:right w:val="nil"/>
            </w:tcBorders>
            <w:tcMar>
              <w:top w:w="56" w:type="dxa"/>
              <w:left w:w="0" w:type="dxa"/>
              <w:bottom w:w="85" w:type="dxa"/>
              <w:right w:w="0" w:type="dxa"/>
            </w:tcMar>
            <w:vAlign w:val="bottom"/>
          </w:tcPr>
          <w:p w14:paraId="262A55C0" w14:textId="77777777" w:rsidR="0062640D" w:rsidRDefault="00C12A80">
            <w:pPr>
              <w:pStyle w:val="Heading-2"/>
            </w:pPr>
            <w:r>
              <w:t>Total cash consideration</w:t>
            </w:r>
          </w:p>
        </w:tc>
        <w:tc>
          <w:tcPr>
            <w:tcW w:w="1133" w:type="dxa"/>
            <w:tcBorders>
              <w:top w:val="single" w:sz="2" w:space="0" w:color="FF777C"/>
              <w:left w:val="nil"/>
              <w:bottom w:val="single" w:sz="2" w:space="0" w:color="FF777C"/>
              <w:right w:val="nil"/>
            </w:tcBorders>
            <w:tcMar>
              <w:top w:w="56" w:type="dxa"/>
              <w:left w:w="0" w:type="dxa"/>
              <w:bottom w:w="85" w:type="dxa"/>
              <w:right w:w="0" w:type="dxa"/>
            </w:tcMar>
            <w:vAlign w:val="bottom"/>
          </w:tcPr>
          <w:p w14:paraId="41285BCD" w14:textId="77777777" w:rsidR="0062640D" w:rsidRDefault="00C12A80">
            <w:pPr>
              <w:pStyle w:val="AccountsBold"/>
            </w:pPr>
            <w:r>
              <w:t>28,344</w:t>
            </w:r>
          </w:p>
        </w:tc>
      </w:tr>
      <w:tr w:rsidR="0062640D" w14:paraId="6E04F8CC" w14:textId="77777777">
        <w:tc>
          <w:tcPr>
            <w:tcW w:w="8947" w:type="dxa"/>
            <w:tcBorders>
              <w:top w:val="single" w:sz="2" w:space="0" w:color="FF777C"/>
              <w:left w:val="nil"/>
              <w:bottom w:val="single" w:sz="6" w:space="0" w:color="FF777C"/>
              <w:right w:val="nil"/>
            </w:tcBorders>
            <w:tcMar>
              <w:top w:w="56" w:type="dxa"/>
              <w:left w:w="0" w:type="dxa"/>
              <w:bottom w:w="85" w:type="dxa"/>
              <w:right w:w="0" w:type="dxa"/>
            </w:tcMar>
            <w:vAlign w:val="bottom"/>
          </w:tcPr>
          <w:p w14:paraId="482CE61E" w14:textId="77777777" w:rsidR="0062640D" w:rsidRDefault="00C12A80">
            <w:pPr>
              <w:pStyle w:val="Heading-2"/>
            </w:pPr>
            <w:r>
              <w:t>Goodwill</w:t>
            </w:r>
          </w:p>
        </w:tc>
        <w:tc>
          <w:tcPr>
            <w:tcW w:w="1133" w:type="dxa"/>
            <w:tcBorders>
              <w:top w:val="single" w:sz="2" w:space="0" w:color="FF777C"/>
              <w:left w:val="nil"/>
              <w:bottom w:val="single" w:sz="6" w:space="0" w:color="FF777C"/>
              <w:right w:val="nil"/>
            </w:tcBorders>
            <w:tcMar>
              <w:top w:w="56" w:type="dxa"/>
              <w:left w:w="0" w:type="dxa"/>
              <w:bottom w:w="85" w:type="dxa"/>
              <w:right w:w="0" w:type="dxa"/>
            </w:tcMar>
            <w:vAlign w:val="bottom"/>
          </w:tcPr>
          <w:p w14:paraId="7D84E2FD" w14:textId="77777777" w:rsidR="0062640D" w:rsidRDefault="00C12A80">
            <w:pPr>
              <w:pStyle w:val="AccountsBold"/>
            </w:pPr>
            <w:r>
              <w:t>23,425</w:t>
            </w:r>
          </w:p>
        </w:tc>
      </w:tr>
    </w:tbl>
    <w:p w14:paraId="4FC991BC" w14:textId="77777777" w:rsidR="0062640D" w:rsidRDefault="0062640D"/>
    <w:p w14:paraId="02E8BB3B" w14:textId="77777777" w:rsidR="0062640D" w:rsidRDefault="00C12A80">
      <w:r>
        <w:t>Goodwill of €23.4 million has been recognised due to the acquisition of Clayton Hotel Amsterdam American, as the consideration exceeded the fair value of the identifiable net assets acquired.</w:t>
      </w:r>
    </w:p>
    <w:p w14:paraId="3563896C" w14:textId="77777777" w:rsidR="0062640D" w:rsidRDefault="0062640D"/>
    <w:p w14:paraId="469BB68C" w14:textId="77777777" w:rsidR="0062640D" w:rsidRDefault="00C12A80">
      <w:r>
        <w:t>The goodwill acquired as part of this transaction comprises certain intangible assets that cannot be separately identified. This includes future trading and the future growth opportunities the business provides to the Group’s operations due to the geographical location of the hotel, access to the Amsterdam market, which restricts new hotel developments, and the skills and experience of an assembled workforce.</w:t>
      </w:r>
    </w:p>
    <w:p w14:paraId="5EB7002F" w14:textId="77777777" w:rsidR="0062640D" w:rsidRDefault="0062640D"/>
    <w:p w14:paraId="2D8EF76C" w14:textId="77777777" w:rsidR="0062640D" w:rsidRDefault="00C12A80">
      <w:r>
        <w:t xml:space="preserve">Acquisition-related costs of €0.6 million were charged to administrative expenses in profit or loss in respect of this business combination.  </w:t>
      </w:r>
    </w:p>
    <w:p w14:paraId="60B6B6BC" w14:textId="77777777" w:rsidR="0062640D" w:rsidRDefault="0062640D"/>
    <w:p w14:paraId="05915A8D" w14:textId="77777777" w:rsidR="0062640D" w:rsidRDefault="00C12A80">
      <w:pPr>
        <w:pStyle w:val="Heading-1"/>
      </w:pPr>
      <w:r>
        <w:t>12 Intangible assets and goodwill</w:t>
      </w:r>
    </w:p>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6679"/>
        <w:gridCol w:w="1133"/>
        <w:gridCol w:w="1133"/>
        <w:gridCol w:w="1133"/>
      </w:tblGrid>
      <w:tr w:rsidR="0062640D" w14:paraId="56E45C09" w14:textId="77777777">
        <w:tc>
          <w:tcPr>
            <w:tcW w:w="6679" w:type="dxa"/>
            <w:tcBorders>
              <w:top w:val="nil"/>
              <w:left w:val="nil"/>
              <w:bottom w:val="nil"/>
              <w:right w:val="nil"/>
            </w:tcBorders>
            <w:tcMar>
              <w:top w:w="45" w:type="dxa"/>
              <w:left w:w="0" w:type="dxa"/>
              <w:bottom w:w="0" w:type="dxa"/>
              <w:right w:w="0" w:type="dxa"/>
            </w:tcMar>
            <w:vAlign w:val="bottom"/>
          </w:tcPr>
          <w:p w14:paraId="344B85BA" w14:textId="77777777" w:rsidR="0062640D" w:rsidRDefault="0062640D"/>
        </w:tc>
        <w:tc>
          <w:tcPr>
            <w:tcW w:w="1133" w:type="dxa"/>
            <w:tcBorders>
              <w:top w:val="nil"/>
              <w:left w:val="nil"/>
              <w:bottom w:val="nil"/>
              <w:right w:val="nil"/>
            </w:tcBorders>
            <w:tcMar>
              <w:top w:w="45" w:type="dxa"/>
              <w:left w:w="0" w:type="dxa"/>
              <w:bottom w:w="0" w:type="dxa"/>
              <w:right w:w="0" w:type="dxa"/>
            </w:tcMar>
            <w:vAlign w:val="bottom"/>
          </w:tcPr>
          <w:p w14:paraId="5055F461" w14:textId="77777777" w:rsidR="0062640D" w:rsidRDefault="00C12A80">
            <w:pPr>
              <w:pStyle w:val="Table-Headings"/>
            </w:pPr>
            <w:r>
              <w:t>Goodwill</w:t>
            </w:r>
          </w:p>
        </w:tc>
        <w:tc>
          <w:tcPr>
            <w:tcW w:w="1133" w:type="dxa"/>
            <w:tcBorders>
              <w:top w:val="nil"/>
              <w:left w:val="nil"/>
              <w:bottom w:val="nil"/>
              <w:right w:val="nil"/>
            </w:tcBorders>
            <w:tcMar>
              <w:top w:w="45" w:type="dxa"/>
              <w:left w:w="0" w:type="dxa"/>
              <w:bottom w:w="0" w:type="dxa"/>
              <w:right w:w="0" w:type="dxa"/>
            </w:tcMar>
            <w:vAlign w:val="bottom"/>
          </w:tcPr>
          <w:p w14:paraId="0C8D15D7" w14:textId="77777777" w:rsidR="0062640D" w:rsidRDefault="00C12A80">
            <w:pPr>
              <w:pStyle w:val="Table-Headings"/>
            </w:pPr>
            <w:r>
              <w:t xml:space="preserve">Other </w:t>
            </w:r>
            <w:r>
              <w:br/>
              <w:t>intangible assets</w:t>
            </w:r>
          </w:p>
        </w:tc>
        <w:tc>
          <w:tcPr>
            <w:tcW w:w="1133" w:type="dxa"/>
            <w:tcBorders>
              <w:top w:val="nil"/>
              <w:left w:val="nil"/>
              <w:bottom w:val="nil"/>
              <w:right w:val="nil"/>
            </w:tcBorders>
            <w:tcMar>
              <w:top w:w="45" w:type="dxa"/>
              <w:left w:w="0" w:type="dxa"/>
              <w:bottom w:w="0" w:type="dxa"/>
              <w:right w:w="0" w:type="dxa"/>
            </w:tcMar>
            <w:vAlign w:val="bottom"/>
          </w:tcPr>
          <w:p w14:paraId="1B8BA276" w14:textId="77777777" w:rsidR="0062640D" w:rsidRDefault="00C12A80">
            <w:pPr>
              <w:pStyle w:val="Table-Headings"/>
            </w:pPr>
            <w:r>
              <w:t>Total</w:t>
            </w:r>
          </w:p>
        </w:tc>
      </w:tr>
      <w:tr w:rsidR="0062640D" w14:paraId="67C0FFE5" w14:textId="77777777">
        <w:tc>
          <w:tcPr>
            <w:tcW w:w="6679" w:type="dxa"/>
            <w:tcBorders>
              <w:top w:val="nil"/>
              <w:left w:val="nil"/>
              <w:bottom w:val="single" w:sz="6" w:space="0" w:color="FF777C"/>
              <w:right w:val="nil"/>
            </w:tcBorders>
            <w:tcMar>
              <w:top w:w="45" w:type="dxa"/>
              <w:left w:w="0" w:type="dxa"/>
              <w:bottom w:w="56" w:type="dxa"/>
              <w:right w:w="0" w:type="dxa"/>
            </w:tcMar>
            <w:vAlign w:val="bottom"/>
          </w:tcPr>
          <w:p w14:paraId="11ABB6F0" w14:textId="77777777" w:rsidR="0062640D" w:rsidRDefault="0062640D"/>
        </w:tc>
        <w:tc>
          <w:tcPr>
            <w:tcW w:w="1133" w:type="dxa"/>
            <w:tcBorders>
              <w:top w:val="nil"/>
              <w:left w:val="nil"/>
              <w:bottom w:val="single" w:sz="6" w:space="0" w:color="FF777C"/>
              <w:right w:val="nil"/>
            </w:tcBorders>
            <w:tcMar>
              <w:top w:w="45" w:type="dxa"/>
              <w:left w:w="0" w:type="dxa"/>
              <w:bottom w:w="56" w:type="dxa"/>
              <w:right w:w="0" w:type="dxa"/>
            </w:tcMar>
            <w:vAlign w:val="bottom"/>
          </w:tcPr>
          <w:p w14:paraId="0395DDB9" w14:textId="77777777" w:rsidR="0062640D" w:rsidRDefault="00C12A80">
            <w:pPr>
              <w:pStyle w:val="Table-Headings"/>
            </w:pPr>
            <w:r>
              <w:t>€’000</w:t>
            </w:r>
          </w:p>
        </w:tc>
        <w:tc>
          <w:tcPr>
            <w:tcW w:w="1133" w:type="dxa"/>
            <w:tcBorders>
              <w:top w:val="nil"/>
              <w:left w:val="nil"/>
              <w:bottom w:val="single" w:sz="6" w:space="0" w:color="FF777C"/>
              <w:right w:val="nil"/>
            </w:tcBorders>
            <w:tcMar>
              <w:top w:w="45" w:type="dxa"/>
              <w:left w:w="0" w:type="dxa"/>
              <w:bottom w:w="56" w:type="dxa"/>
              <w:right w:w="0" w:type="dxa"/>
            </w:tcMar>
            <w:vAlign w:val="bottom"/>
          </w:tcPr>
          <w:p w14:paraId="2767AF17" w14:textId="77777777" w:rsidR="0062640D" w:rsidRDefault="00C12A80">
            <w:pPr>
              <w:pStyle w:val="Table-Headings"/>
            </w:pPr>
            <w:r>
              <w:t>€’000</w:t>
            </w:r>
          </w:p>
        </w:tc>
        <w:tc>
          <w:tcPr>
            <w:tcW w:w="1133" w:type="dxa"/>
            <w:tcBorders>
              <w:top w:val="nil"/>
              <w:left w:val="nil"/>
              <w:bottom w:val="single" w:sz="6" w:space="0" w:color="FF777C"/>
              <w:right w:val="nil"/>
            </w:tcBorders>
            <w:tcMar>
              <w:top w:w="45" w:type="dxa"/>
              <w:left w:w="0" w:type="dxa"/>
              <w:bottom w:w="56" w:type="dxa"/>
              <w:right w:w="0" w:type="dxa"/>
            </w:tcMar>
            <w:vAlign w:val="bottom"/>
          </w:tcPr>
          <w:p w14:paraId="4FB4D7A0" w14:textId="77777777" w:rsidR="0062640D" w:rsidRDefault="00C12A80">
            <w:pPr>
              <w:pStyle w:val="Table-Headings"/>
            </w:pPr>
            <w:r>
              <w:t>€’000</w:t>
            </w:r>
          </w:p>
        </w:tc>
      </w:tr>
      <w:tr w:rsidR="0062640D" w14:paraId="15E60E6C" w14:textId="77777777">
        <w:tc>
          <w:tcPr>
            <w:tcW w:w="6679"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7225EE2C" w14:textId="77777777" w:rsidR="0062640D" w:rsidRDefault="00C12A80">
            <w:pPr>
              <w:pStyle w:val="Heading-2"/>
            </w:pPr>
            <w:r>
              <w:t>Cost or valuation</w:t>
            </w:r>
          </w:p>
        </w:tc>
        <w:tc>
          <w:tcPr>
            <w:tcW w:w="113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342F0319" w14:textId="77777777" w:rsidR="0062640D" w:rsidRDefault="0062640D"/>
        </w:tc>
        <w:tc>
          <w:tcPr>
            <w:tcW w:w="113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0A96AC54" w14:textId="77777777" w:rsidR="0062640D" w:rsidRDefault="0062640D"/>
        </w:tc>
        <w:tc>
          <w:tcPr>
            <w:tcW w:w="113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515DC89D" w14:textId="77777777" w:rsidR="0062640D" w:rsidRDefault="0062640D"/>
        </w:tc>
      </w:tr>
      <w:tr w:rsidR="0062640D" w14:paraId="67A60374" w14:textId="77777777">
        <w:tc>
          <w:tcPr>
            <w:tcW w:w="6679"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35C4017A" w14:textId="77777777" w:rsidR="0062640D" w:rsidRDefault="00C12A80">
            <w:r>
              <w:t>Balance at 1 January 2024</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3B7980A9" w14:textId="77777777" w:rsidR="0062640D" w:rsidRDefault="00C12A80">
            <w:pPr>
              <w:pStyle w:val="Accounts"/>
            </w:pPr>
            <w:r>
              <w:t>102,769</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3F4996FB" w14:textId="77777777" w:rsidR="0062640D" w:rsidRDefault="00C12A80">
            <w:pPr>
              <w:pStyle w:val="Accounts"/>
            </w:pPr>
            <w:r>
              <w:t>2,804</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0531EEE2" w14:textId="77777777" w:rsidR="0062640D" w:rsidRDefault="00C12A80">
            <w:pPr>
              <w:pStyle w:val="Accounts"/>
            </w:pPr>
            <w:r>
              <w:t>105,573</w:t>
            </w:r>
          </w:p>
        </w:tc>
      </w:tr>
      <w:tr w:rsidR="0062640D" w14:paraId="58C5C333" w14:textId="77777777">
        <w:tc>
          <w:tcPr>
            <w:tcW w:w="6679"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FA0BD35" w14:textId="250A5098" w:rsidR="0062640D" w:rsidRDefault="00C12A80">
            <w:r>
              <w:t>Disposal</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748751C6" w14:textId="77777777" w:rsidR="0062640D" w:rsidRDefault="00C12A80">
            <w:pPr>
              <w:pStyle w:val="Accounts-Bracket"/>
            </w:pPr>
            <w:r>
              <w:t>(176)</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065909A0" w14:textId="77777777" w:rsidR="0062640D" w:rsidRDefault="00C12A80">
            <w:pPr>
              <w:pStyle w:val="Accounts"/>
            </w:pPr>
            <w:r>
              <w:t>-</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20D2F9CC" w14:textId="77777777" w:rsidR="0062640D" w:rsidRDefault="00C12A80">
            <w:pPr>
              <w:pStyle w:val="Accounts-Bracket"/>
            </w:pPr>
            <w:r>
              <w:t>(176)</w:t>
            </w:r>
          </w:p>
        </w:tc>
      </w:tr>
      <w:tr w:rsidR="0062640D" w14:paraId="2F53E81D" w14:textId="77777777">
        <w:tc>
          <w:tcPr>
            <w:tcW w:w="6679"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35DE6F4B" w14:textId="1DF95F9D" w:rsidR="0062640D" w:rsidRDefault="00C12A80">
            <w:r>
              <w:t xml:space="preserve">Reclassification to held for sale </w:t>
            </w:r>
            <w:r w:rsidR="00647696" w:rsidRPr="006B0F6B">
              <w:t>assets (</w:t>
            </w:r>
            <w:hyperlink w:anchor="note-18" w:history="1">
              <w:r w:rsidR="00647696" w:rsidRPr="001D58A0">
                <w:rPr>
                  <w:rStyle w:val="Hyperlink"/>
                </w:rPr>
                <w:t>note 18</w:t>
              </w:r>
            </w:hyperlink>
            <w:r w:rsidR="00647696" w:rsidRPr="006B0F6B">
              <w:t>)</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31605C13" w14:textId="77777777" w:rsidR="0062640D" w:rsidRDefault="00C12A80">
            <w:pPr>
              <w:pStyle w:val="Accounts-Bracket"/>
            </w:pPr>
            <w:r>
              <w:t>(550)</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58B917D9" w14:textId="77777777" w:rsidR="0062640D" w:rsidRDefault="00C12A80">
            <w:pPr>
              <w:pStyle w:val="Accounts"/>
            </w:pPr>
            <w:r>
              <w:t>-</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FD4BC98" w14:textId="77777777" w:rsidR="0062640D" w:rsidRDefault="00C12A80">
            <w:pPr>
              <w:pStyle w:val="Accounts-Bracket"/>
            </w:pPr>
            <w:r>
              <w:t>(550)</w:t>
            </w:r>
          </w:p>
        </w:tc>
      </w:tr>
      <w:tr w:rsidR="0062640D" w14:paraId="14FA3012" w14:textId="77777777">
        <w:tc>
          <w:tcPr>
            <w:tcW w:w="6679"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40FC72A8" w14:textId="77777777" w:rsidR="0062640D" w:rsidRDefault="00C12A80">
            <w:r>
              <w:t>Effect of movements in exchange rates</w:t>
            </w:r>
          </w:p>
        </w:tc>
        <w:tc>
          <w:tcPr>
            <w:tcW w:w="113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2FC773DE" w14:textId="77777777" w:rsidR="0062640D" w:rsidRDefault="00C12A80">
            <w:pPr>
              <w:pStyle w:val="Accounts"/>
            </w:pPr>
            <w:r>
              <w:t>553</w:t>
            </w:r>
          </w:p>
        </w:tc>
        <w:tc>
          <w:tcPr>
            <w:tcW w:w="113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11B4E784" w14:textId="77777777" w:rsidR="0062640D" w:rsidRDefault="00C12A80">
            <w:pPr>
              <w:pStyle w:val="Accounts"/>
            </w:pPr>
            <w:r>
              <w:t>-</w:t>
            </w:r>
          </w:p>
        </w:tc>
        <w:tc>
          <w:tcPr>
            <w:tcW w:w="113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64225A97" w14:textId="77777777" w:rsidR="0062640D" w:rsidRDefault="00C12A80">
            <w:pPr>
              <w:pStyle w:val="Accounts"/>
            </w:pPr>
            <w:r>
              <w:t>553</w:t>
            </w:r>
          </w:p>
        </w:tc>
      </w:tr>
      <w:tr w:rsidR="0062640D" w14:paraId="4EBFD095" w14:textId="77777777">
        <w:tc>
          <w:tcPr>
            <w:tcW w:w="6679"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5D12D484" w14:textId="77777777" w:rsidR="0062640D" w:rsidRDefault="00C12A80">
            <w:pPr>
              <w:pStyle w:val="Heading-2"/>
            </w:pPr>
            <w:r>
              <w:t>Balance at 31 December 2024</w:t>
            </w:r>
          </w:p>
        </w:tc>
        <w:tc>
          <w:tcPr>
            <w:tcW w:w="113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366FABB6" w14:textId="77777777" w:rsidR="0062640D" w:rsidRDefault="00C12A80">
            <w:pPr>
              <w:pStyle w:val="AccountsBold"/>
            </w:pPr>
            <w:r>
              <w:t>102,596</w:t>
            </w:r>
          </w:p>
        </w:tc>
        <w:tc>
          <w:tcPr>
            <w:tcW w:w="113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751B4433" w14:textId="77777777" w:rsidR="0062640D" w:rsidRDefault="00C12A80">
            <w:pPr>
              <w:pStyle w:val="AccountsBold"/>
            </w:pPr>
            <w:r>
              <w:t>2,804</w:t>
            </w:r>
          </w:p>
        </w:tc>
        <w:tc>
          <w:tcPr>
            <w:tcW w:w="113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321445A0" w14:textId="77777777" w:rsidR="0062640D" w:rsidRDefault="00C12A80">
            <w:pPr>
              <w:pStyle w:val="AccountsBold"/>
            </w:pPr>
            <w:r>
              <w:t>105,400</w:t>
            </w:r>
          </w:p>
        </w:tc>
      </w:tr>
      <w:tr w:rsidR="0062640D" w14:paraId="1B633B20" w14:textId="77777777">
        <w:tc>
          <w:tcPr>
            <w:tcW w:w="6679"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2FB1CC95" w14:textId="77777777" w:rsidR="0062640D" w:rsidRDefault="0062640D"/>
        </w:tc>
        <w:tc>
          <w:tcPr>
            <w:tcW w:w="113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53022B8C" w14:textId="77777777" w:rsidR="0062640D" w:rsidRDefault="0062640D"/>
        </w:tc>
        <w:tc>
          <w:tcPr>
            <w:tcW w:w="113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154D7546" w14:textId="77777777" w:rsidR="0062640D" w:rsidRDefault="0062640D"/>
        </w:tc>
        <w:tc>
          <w:tcPr>
            <w:tcW w:w="113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5798C8FB" w14:textId="77777777" w:rsidR="0062640D" w:rsidRDefault="0062640D"/>
        </w:tc>
      </w:tr>
      <w:tr w:rsidR="0062640D" w14:paraId="2CC8177A" w14:textId="77777777">
        <w:tc>
          <w:tcPr>
            <w:tcW w:w="6679"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8DFEA5B" w14:textId="77777777" w:rsidR="0062640D" w:rsidRDefault="00C12A80">
            <w:r>
              <w:t>Balance at 1 January 2023</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512E7395" w14:textId="77777777" w:rsidR="0062640D" w:rsidRDefault="00C12A80">
            <w:pPr>
              <w:pStyle w:val="Accounts"/>
            </w:pPr>
            <w:r>
              <w:t>79,106</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7E1502C0" w14:textId="77777777" w:rsidR="0062640D" w:rsidRDefault="00C12A80">
            <w:pPr>
              <w:pStyle w:val="Accounts"/>
            </w:pPr>
            <w:r>
              <w:t>2,797</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071787F9" w14:textId="77777777" w:rsidR="0062640D" w:rsidRDefault="00C12A80">
            <w:pPr>
              <w:pStyle w:val="Accounts"/>
            </w:pPr>
            <w:r>
              <w:t>81,903</w:t>
            </w:r>
          </w:p>
        </w:tc>
      </w:tr>
      <w:tr w:rsidR="0062640D" w14:paraId="508517AD" w14:textId="77777777">
        <w:tc>
          <w:tcPr>
            <w:tcW w:w="6679"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133969C2" w14:textId="77777777" w:rsidR="0062640D" w:rsidRDefault="00C12A80">
            <w:r>
              <w:t>Additions</w:t>
            </w:r>
          </w:p>
        </w:tc>
        <w:tc>
          <w:tcPr>
            <w:tcW w:w="1133"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1C9AE110" w14:textId="77777777" w:rsidR="0062640D" w:rsidRDefault="00C12A80">
            <w:pPr>
              <w:pStyle w:val="Accounts"/>
            </w:pPr>
            <w:r>
              <w:t>23,425</w:t>
            </w:r>
          </w:p>
        </w:tc>
        <w:tc>
          <w:tcPr>
            <w:tcW w:w="1133"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7CB8F561" w14:textId="77777777" w:rsidR="0062640D" w:rsidRDefault="00C12A80">
            <w:pPr>
              <w:pStyle w:val="Accounts"/>
            </w:pPr>
            <w:r>
              <w:t>7</w:t>
            </w:r>
          </w:p>
        </w:tc>
        <w:tc>
          <w:tcPr>
            <w:tcW w:w="1133"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5EAA90E2" w14:textId="77777777" w:rsidR="0062640D" w:rsidRDefault="00C12A80">
            <w:pPr>
              <w:pStyle w:val="Accounts"/>
            </w:pPr>
            <w:r>
              <w:t>23,432</w:t>
            </w:r>
          </w:p>
        </w:tc>
      </w:tr>
      <w:tr w:rsidR="0062640D" w14:paraId="150A2D79" w14:textId="77777777">
        <w:tc>
          <w:tcPr>
            <w:tcW w:w="6679" w:type="dxa"/>
            <w:tcBorders>
              <w:top w:val="nil"/>
              <w:left w:val="nil"/>
              <w:bottom w:val="single" w:sz="4" w:space="0" w:color="FF777C"/>
              <w:right w:val="nil"/>
            </w:tcBorders>
            <w:tcMar>
              <w:top w:w="56" w:type="dxa"/>
              <w:left w:w="0" w:type="dxa"/>
              <w:bottom w:w="85" w:type="dxa"/>
              <w:right w:w="0" w:type="dxa"/>
            </w:tcMar>
            <w:vAlign w:val="bottom"/>
          </w:tcPr>
          <w:p w14:paraId="1CEA1F11" w14:textId="77777777" w:rsidR="0062640D" w:rsidRDefault="00C12A80">
            <w:r>
              <w:t>Effect of movements in exchange rates</w:t>
            </w:r>
          </w:p>
        </w:tc>
        <w:tc>
          <w:tcPr>
            <w:tcW w:w="1133" w:type="dxa"/>
            <w:tcBorders>
              <w:top w:val="nil"/>
              <w:left w:val="nil"/>
              <w:bottom w:val="single" w:sz="4" w:space="0" w:color="FF777C"/>
              <w:right w:val="nil"/>
            </w:tcBorders>
            <w:tcMar>
              <w:top w:w="56" w:type="dxa"/>
              <w:left w:w="0" w:type="dxa"/>
              <w:bottom w:w="85" w:type="dxa"/>
              <w:right w:w="0" w:type="dxa"/>
            </w:tcMar>
            <w:vAlign w:val="bottom"/>
          </w:tcPr>
          <w:p w14:paraId="5CB69322" w14:textId="77777777" w:rsidR="0062640D" w:rsidRDefault="00C12A80" w:rsidP="00647696">
            <w:pPr>
              <w:pStyle w:val="Accounts"/>
            </w:pPr>
            <w:r>
              <w:t>238</w:t>
            </w:r>
          </w:p>
        </w:tc>
        <w:tc>
          <w:tcPr>
            <w:tcW w:w="1133" w:type="dxa"/>
            <w:tcBorders>
              <w:top w:val="nil"/>
              <w:left w:val="nil"/>
              <w:bottom w:val="single" w:sz="4" w:space="0" w:color="FF777C"/>
              <w:right w:val="nil"/>
            </w:tcBorders>
            <w:tcMar>
              <w:top w:w="56" w:type="dxa"/>
              <w:left w:w="0" w:type="dxa"/>
              <w:bottom w:w="85" w:type="dxa"/>
              <w:right w:w="0" w:type="dxa"/>
            </w:tcMar>
            <w:vAlign w:val="bottom"/>
          </w:tcPr>
          <w:p w14:paraId="633775E3" w14:textId="77777777" w:rsidR="0062640D" w:rsidRDefault="00C12A80" w:rsidP="00647696">
            <w:pPr>
              <w:pStyle w:val="Accounts"/>
            </w:pPr>
            <w:r>
              <w:t>-</w:t>
            </w:r>
          </w:p>
        </w:tc>
        <w:tc>
          <w:tcPr>
            <w:tcW w:w="1133" w:type="dxa"/>
            <w:tcBorders>
              <w:top w:val="nil"/>
              <w:left w:val="nil"/>
              <w:bottom w:val="single" w:sz="4" w:space="0" w:color="FF777C"/>
              <w:right w:val="nil"/>
            </w:tcBorders>
            <w:tcMar>
              <w:top w:w="56" w:type="dxa"/>
              <w:left w:w="0" w:type="dxa"/>
              <w:bottom w:w="85" w:type="dxa"/>
              <w:right w:w="0" w:type="dxa"/>
            </w:tcMar>
            <w:vAlign w:val="bottom"/>
          </w:tcPr>
          <w:p w14:paraId="61B26CF0" w14:textId="77777777" w:rsidR="0062640D" w:rsidRDefault="00C12A80" w:rsidP="00647696">
            <w:pPr>
              <w:pStyle w:val="Accounts"/>
            </w:pPr>
            <w:r>
              <w:t>238</w:t>
            </w:r>
          </w:p>
        </w:tc>
      </w:tr>
      <w:tr w:rsidR="0062640D" w14:paraId="4FF452F9" w14:textId="77777777">
        <w:tc>
          <w:tcPr>
            <w:tcW w:w="6679" w:type="dxa"/>
            <w:tcBorders>
              <w:top w:val="single" w:sz="4" w:space="0" w:color="FF777C"/>
              <w:left w:val="nil"/>
              <w:bottom w:val="single" w:sz="4" w:space="0" w:color="FF777C"/>
              <w:right w:val="nil"/>
            </w:tcBorders>
            <w:tcMar>
              <w:top w:w="56" w:type="dxa"/>
              <w:left w:w="0" w:type="dxa"/>
              <w:bottom w:w="85" w:type="dxa"/>
              <w:right w:w="0" w:type="dxa"/>
            </w:tcMar>
            <w:vAlign w:val="bottom"/>
          </w:tcPr>
          <w:p w14:paraId="427F3F38" w14:textId="77777777" w:rsidR="0062640D" w:rsidRDefault="00C12A80">
            <w:r>
              <w:t>Balance at 31 December 2023</w:t>
            </w:r>
          </w:p>
        </w:tc>
        <w:tc>
          <w:tcPr>
            <w:tcW w:w="1133" w:type="dxa"/>
            <w:tcBorders>
              <w:top w:val="single" w:sz="4" w:space="0" w:color="FF777C"/>
              <w:left w:val="nil"/>
              <w:bottom w:val="single" w:sz="4" w:space="0" w:color="FF777C"/>
              <w:right w:val="nil"/>
            </w:tcBorders>
            <w:tcMar>
              <w:top w:w="56" w:type="dxa"/>
              <w:left w:w="0" w:type="dxa"/>
              <w:bottom w:w="85" w:type="dxa"/>
              <w:right w:w="0" w:type="dxa"/>
            </w:tcMar>
            <w:vAlign w:val="bottom"/>
          </w:tcPr>
          <w:p w14:paraId="26A90D07" w14:textId="77777777" w:rsidR="0062640D" w:rsidRDefault="00C12A80">
            <w:pPr>
              <w:pStyle w:val="Accounts"/>
            </w:pPr>
            <w:r>
              <w:t>102,769</w:t>
            </w:r>
          </w:p>
        </w:tc>
        <w:tc>
          <w:tcPr>
            <w:tcW w:w="1133" w:type="dxa"/>
            <w:tcBorders>
              <w:top w:val="single" w:sz="4" w:space="0" w:color="FF777C"/>
              <w:left w:val="nil"/>
              <w:bottom w:val="single" w:sz="4" w:space="0" w:color="FF777C"/>
              <w:right w:val="nil"/>
            </w:tcBorders>
            <w:tcMar>
              <w:top w:w="56" w:type="dxa"/>
              <w:left w:w="0" w:type="dxa"/>
              <w:bottom w:w="85" w:type="dxa"/>
              <w:right w:w="0" w:type="dxa"/>
            </w:tcMar>
            <w:vAlign w:val="bottom"/>
          </w:tcPr>
          <w:p w14:paraId="3E659C89" w14:textId="77777777" w:rsidR="0062640D" w:rsidRDefault="00C12A80">
            <w:pPr>
              <w:pStyle w:val="Accounts"/>
            </w:pPr>
            <w:r>
              <w:t>2,804</w:t>
            </w:r>
          </w:p>
        </w:tc>
        <w:tc>
          <w:tcPr>
            <w:tcW w:w="1133" w:type="dxa"/>
            <w:tcBorders>
              <w:top w:val="single" w:sz="4" w:space="0" w:color="FF777C"/>
              <w:left w:val="nil"/>
              <w:bottom w:val="single" w:sz="4" w:space="0" w:color="FF777C"/>
              <w:right w:val="nil"/>
            </w:tcBorders>
            <w:tcMar>
              <w:top w:w="56" w:type="dxa"/>
              <w:left w:w="0" w:type="dxa"/>
              <w:bottom w:w="85" w:type="dxa"/>
              <w:right w:w="0" w:type="dxa"/>
            </w:tcMar>
            <w:vAlign w:val="bottom"/>
          </w:tcPr>
          <w:p w14:paraId="5B330930" w14:textId="77777777" w:rsidR="0062640D" w:rsidRDefault="00C12A80">
            <w:pPr>
              <w:pStyle w:val="Accounts"/>
            </w:pPr>
            <w:r>
              <w:t>105,573</w:t>
            </w:r>
          </w:p>
        </w:tc>
      </w:tr>
      <w:tr w:rsidR="0062640D" w14:paraId="01683D43" w14:textId="77777777">
        <w:tc>
          <w:tcPr>
            <w:tcW w:w="6679" w:type="dxa"/>
            <w:tcBorders>
              <w:top w:val="single" w:sz="4"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6B2000CF" w14:textId="77777777" w:rsidR="0062640D" w:rsidRDefault="0062640D"/>
        </w:tc>
        <w:tc>
          <w:tcPr>
            <w:tcW w:w="1133" w:type="dxa"/>
            <w:tcBorders>
              <w:top w:val="single" w:sz="4"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45CBE3AF" w14:textId="77777777" w:rsidR="0062640D" w:rsidRDefault="0062640D"/>
        </w:tc>
        <w:tc>
          <w:tcPr>
            <w:tcW w:w="1133" w:type="dxa"/>
            <w:tcBorders>
              <w:top w:val="single" w:sz="4"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39EA8C5D" w14:textId="77777777" w:rsidR="0062640D" w:rsidRDefault="0062640D"/>
        </w:tc>
        <w:tc>
          <w:tcPr>
            <w:tcW w:w="1133" w:type="dxa"/>
            <w:tcBorders>
              <w:top w:val="single" w:sz="4"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761792D0" w14:textId="77777777" w:rsidR="0062640D" w:rsidRDefault="0062640D"/>
        </w:tc>
      </w:tr>
      <w:tr w:rsidR="0062640D" w14:paraId="6F56939F" w14:textId="77777777">
        <w:tc>
          <w:tcPr>
            <w:tcW w:w="6679"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702E505" w14:textId="77777777" w:rsidR="0062640D" w:rsidRDefault="00C12A80">
            <w:pPr>
              <w:pStyle w:val="Heading-2"/>
            </w:pPr>
            <w:r>
              <w:t>Accumulated amortisation and impairment losses</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6518B4B3" w14:textId="77777777" w:rsidR="0062640D" w:rsidRDefault="0062640D"/>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7FD93218" w14:textId="77777777" w:rsidR="0062640D" w:rsidRDefault="0062640D"/>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A63BD00" w14:textId="77777777" w:rsidR="0062640D" w:rsidRDefault="0062640D"/>
        </w:tc>
      </w:tr>
      <w:tr w:rsidR="0062640D" w14:paraId="57258517" w14:textId="77777777">
        <w:tc>
          <w:tcPr>
            <w:tcW w:w="6679"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676A26CE" w14:textId="77777777" w:rsidR="0062640D" w:rsidRDefault="00C12A80">
            <w:r>
              <w:t>Balance at 1 January 2024</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6E5FAA30" w14:textId="77777777" w:rsidR="0062640D" w:rsidRDefault="00C12A80">
            <w:pPr>
              <w:pStyle w:val="Accounts-Bracket"/>
            </w:pPr>
            <w:r>
              <w:t>(48,947)</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6710EF38" w14:textId="77777777" w:rsidR="0062640D" w:rsidRDefault="00C12A80">
            <w:pPr>
              <w:pStyle w:val="Accounts-Bracket"/>
            </w:pPr>
            <w:r>
              <w:t>(2,552)</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0FB613E2" w14:textId="77777777" w:rsidR="0062640D" w:rsidRDefault="00C12A80">
            <w:pPr>
              <w:pStyle w:val="Accounts-Bracket"/>
            </w:pPr>
            <w:r>
              <w:t>(51,499)</w:t>
            </w:r>
          </w:p>
        </w:tc>
      </w:tr>
      <w:tr w:rsidR="0062640D" w14:paraId="52E6EB65" w14:textId="77777777">
        <w:tc>
          <w:tcPr>
            <w:tcW w:w="6679"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556FA1D7" w14:textId="77777777" w:rsidR="0062640D" w:rsidRDefault="00C12A80">
            <w:r>
              <w:t>Amortisation of intangible assets</w:t>
            </w:r>
          </w:p>
        </w:tc>
        <w:tc>
          <w:tcPr>
            <w:tcW w:w="113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36A090D2" w14:textId="77777777" w:rsidR="0062640D" w:rsidRDefault="00C12A80">
            <w:pPr>
              <w:pStyle w:val="Accounts"/>
            </w:pPr>
            <w:r>
              <w:t>-</w:t>
            </w:r>
          </w:p>
        </w:tc>
        <w:tc>
          <w:tcPr>
            <w:tcW w:w="113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48E0885A" w14:textId="77777777" w:rsidR="0062640D" w:rsidRDefault="00C12A80">
            <w:pPr>
              <w:pStyle w:val="Accounts-Bracket"/>
            </w:pPr>
            <w:r>
              <w:t>(252)</w:t>
            </w:r>
          </w:p>
        </w:tc>
        <w:tc>
          <w:tcPr>
            <w:tcW w:w="113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68DBCA25" w14:textId="7FFF4D09" w:rsidR="0062640D" w:rsidRDefault="00647696">
            <w:pPr>
              <w:pStyle w:val="Accounts"/>
            </w:pPr>
            <w:r>
              <w:t>(252)</w:t>
            </w:r>
          </w:p>
        </w:tc>
      </w:tr>
      <w:tr w:rsidR="0062640D" w14:paraId="111BB576" w14:textId="77777777">
        <w:tc>
          <w:tcPr>
            <w:tcW w:w="6679"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7FE1687D" w14:textId="77777777" w:rsidR="0062640D" w:rsidRDefault="00C12A80">
            <w:pPr>
              <w:pStyle w:val="Heading-2"/>
            </w:pPr>
            <w:r>
              <w:t>Balance at 31 December 2024</w:t>
            </w:r>
          </w:p>
        </w:tc>
        <w:tc>
          <w:tcPr>
            <w:tcW w:w="113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05728BB5" w14:textId="77777777" w:rsidR="0062640D" w:rsidRDefault="00C12A80">
            <w:pPr>
              <w:pStyle w:val="Account-BracketBold"/>
            </w:pPr>
            <w:r>
              <w:t>(48,947)</w:t>
            </w:r>
          </w:p>
        </w:tc>
        <w:tc>
          <w:tcPr>
            <w:tcW w:w="113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166661D1" w14:textId="77777777" w:rsidR="0062640D" w:rsidRDefault="00C12A80">
            <w:pPr>
              <w:pStyle w:val="Account-BracketBold"/>
            </w:pPr>
            <w:r>
              <w:t>(2,804)</w:t>
            </w:r>
          </w:p>
        </w:tc>
        <w:tc>
          <w:tcPr>
            <w:tcW w:w="113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70C35834" w14:textId="77777777" w:rsidR="0062640D" w:rsidRDefault="00C12A80">
            <w:pPr>
              <w:pStyle w:val="Account-BracketBold"/>
            </w:pPr>
            <w:r>
              <w:t>(51,751)</w:t>
            </w:r>
          </w:p>
        </w:tc>
      </w:tr>
      <w:tr w:rsidR="0062640D" w14:paraId="5792789E" w14:textId="77777777">
        <w:tc>
          <w:tcPr>
            <w:tcW w:w="6679"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6F0D1900" w14:textId="77777777" w:rsidR="0062640D" w:rsidRDefault="0062640D"/>
        </w:tc>
        <w:tc>
          <w:tcPr>
            <w:tcW w:w="113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64850A7C" w14:textId="77777777" w:rsidR="0062640D" w:rsidRDefault="0062640D"/>
        </w:tc>
        <w:tc>
          <w:tcPr>
            <w:tcW w:w="113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5EF0300E" w14:textId="77777777" w:rsidR="0062640D" w:rsidRDefault="0062640D"/>
        </w:tc>
        <w:tc>
          <w:tcPr>
            <w:tcW w:w="1133"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3F707056" w14:textId="77777777" w:rsidR="0062640D" w:rsidRDefault="0062640D"/>
        </w:tc>
      </w:tr>
      <w:tr w:rsidR="0062640D" w14:paraId="7ED09D09" w14:textId="77777777">
        <w:tc>
          <w:tcPr>
            <w:tcW w:w="6679"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292A3C63" w14:textId="77777777" w:rsidR="0062640D" w:rsidRDefault="00C12A80">
            <w:r>
              <w:t>Balance at 1 January 2023</w:t>
            </w:r>
          </w:p>
        </w:tc>
        <w:tc>
          <w:tcPr>
            <w:tcW w:w="1133"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545B6686" w14:textId="77777777" w:rsidR="0062640D" w:rsidRDefault="00C12A80">
            <w:pPr>
              <w:pStyle w:val="Accounts-Bracket"/>
            </w:pPr>
            <w:r>
              <w:t>(48,947)</w:t>
            </w:r>
          </w:p>
        </w:tc>
        <w:tc>
          <w:tcPr>
            <w:tcW w:w="1133"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5179043C" w14:textId="272FDEF5" w:rsidR="0062640D" w:rsidRDefault="00C12A80">
            <w:pPr>
              <w:pStyle w:val="Accounts-Bracket"/>
            </w:pPr>
            <w:r>
              <w:t>(1,</w:t>
            </w:r>
            <w:r w:rsidR="00647696">
              <w:t>902</w:t>
            </w:r>
            <w:r>
              <w:t>)</w:t>
            </w:r>
          </w:p>
        </w:tc>
        <w:tc>
          <w:tcPr>
            <w:tcW w:w="1133"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2AA45EAB" w14:textId="77777777" w:rsidR="0062640D" w:rsidRDefault="00C12A80">
            <w:pPr>
              <w:pStyle w:val="Accounts-Bracket"/>
            </w:pPr>
            <w:r>
              <w:t>(50,849)</w:t>
            </w:r>
          </w:p>
        </w:tc>
      </w:tr>
      <w:tr w:rsidR="0062640D" w14:paraId="24E4D29A" w14:textId="77777777">
        <w:tc>
          <w:tcPr>
            <w:tcW w:w="6679" w:type="dxa"/>
            <w:tcBorders>
              <w:top w:val="nil"/>
              <w:left w:val="nil"/>
              <w:bottom w:val="single" w:sz="4" w:space="0" w:color="FF777C"/>
              <w:right w:val="nil"/>
            </w:tcBorders>
            <w:tcMar>
              <w:top w:w="56" w:type="dxa"/>
              <w:left w:w="0" w:type="dxa"/>
              <w:bottom w:w="85" w:type="dxa"/>
              <w:right w:w="0" w:type="dxa"/>
            </w:tcMar>
            <w:vAlign w:val="bottom"/>
          </w:tcPr>
          <w:p w14:paraId="24255716" w14:textId="77777777" w:rsidR="0062640D" w:rsidRDefault="00C12A80">
            <w:r>
              <w:t>Amortisation of intangible assets</w:t>
            </w:r>
          </w:p>
        </w:tc>
        <w:tc>
          <w:tcPr>
            <w:tcW w:w="1133" w:type="dxa"/>
            <w:tcBorders>
              <w:top w:val="nil"/>
              <w:left w:val="nil"/>
              <w:bottom w:val="single" w:sz="4" w:space="0" w:color="FF777C"/>
              <w:right w:val="nil"/>
            </w:tcBorders>
            <w:tcMar>
              <w:top w:w="56" w:type="dxa"/>
              <w:left w:w="0" w:type="dxa"/>
              <w:bottom w:w="85" w:type="dxa"/>
              <w:right w:w="0" w:type="dxa"/>
            </w:tcMar>
            <w:vAlign w:val="bottom"/>
          </w:tcPr>
          <w:p w14:paraId="478AA15C" w14:textId="77777777" w:rsidR="0062640D" w:rsidRDefault="00C12A80">
            <w:pPr>
              <w:pStyle w:val="Accounts"/>
            </w:pPr>
            <w:r>
              <w:t>-</w:t>
            </w:r>
          </w:p>
        </w:tc>
        <w:tc>
          <w:tcPr>
            <w:tcW w:w="1133" w:type="dxa"/>
            <w:tcBorders>
              <w:top w:val="nil"/>
              <w:left w:val="nil"/>
              <w:bottom w:val="single" w:sz="4" w:space="0" w:color="FF777C"/>
              <w:right w:val="nil"/>
            </w:tcBorders>
            <w:tcMar>
              <w:top w:w="56" w:type="dxa"/>
              <w:left w:w="0" w:type="dxa"/>
              <w:bottom w:w="85" w:type="dxa"/>
              <w:right w:w="0" w:type="dxa"/>
            </w:tcMar>
            <w:vAlign w:val="bottom"/>
          </w:tcPr>
          <w:p w14:paraId="2C5D335E" w14:textId="77777777" w:rsidR="0062640D" w:rsidRDefault="00C12A80">
            <w:pPr>
              <w:pStyle w:val="Accounts-Bracket"/>
            </w:pPr>
            <w:r>
              <w:t>(650)</w:t>
            </w:r>
          </w:p>
        </w:tc>
        <w:tc>
          <w:tcPr>
            <w:tcW w:w="1133" w:type="dxa"/>
            <w:tcBorders>
              <w:top w:val="nil"/>
              <w:left w:val="nil"/>
              <w:bottom w:val="single" w:sz="4" w:space="0" w:color="FF777C"/>
              <w:right w:val="nil"/>
            </w:tcBorders>
            <w:tcMar>
              <w:top w:w="56" w:type="dxa"/>
              <w:left w:w="0" w:type="dxa"/>
              <w:bottom w:w="85" w:type="dxa"/>
              <w:right w:w="0" w:type="dxa"/>
            </w:tcMar>
            <w:vAlign w:val="bottom"/>
          </w:tcPr>
          <w:p w14:paraId="0E887B09" w14:textId="77777777" w:rsidR="0062640D" w:rsidRDefault="00C12A80">
            <w:pPr>
              <w:pStyle w:val="Accounts-Bracket"/>
            </w:pPr>
            <w:r>
              <w:t>(650)</w:t>
            </w:r>
          </w:p>
        </w:tc>
      </w:tr>
      <w:tr w:rsidR="0062640D" w14:paraId="5BA5BF4B" w14:textId="77777777">
        <w:tc>
          <w:tcPr>
            <w:tcW w:w="6679" w:type="dxa"/>
            <w:tcBorders>
              <w:top w:val="single" w:sz="4" w:space="0" w:color="FF777C"/>
              <w:left w:val="nil"/>
              <w:bottom w:val="single" w:sz="4" w:space="0" w:color="FF777C"/>
              <w:right w:val="nil"/>
            </w:tcBorders>
            <w:tcMar>
              <w:top w:w="56" w:type="dxa"/>
              <w:left w:w="0" w:type="dxa"/>
              <w:bottom w:w="85" w:type="dxa"/>
              <w:right w:w="0" w:type="dxa"/>
            </w:tcMar>
            <w:vAlign w:val="bottom"/>
          </w:tcPr>
          <w:p w14:paraId="7970189C" w14:textId="77777777" w:rsidR="0062640D" w:rsidRDefault="00C12A80">
            <w:r>
              <w:t>Balance at 31 December 2023</w:t>
            </w:r>
          </w:p>
        </w:tc>
        <w:tc>
          <w:tcPr>
            <w:tcW w:w="1133" w:type="dxa"/>
            <w:tcBorders>
              <w:top w:val="single" w:sz="4" w:space="0" w:color="FF777C"/>
              <w:left w:val="nil"/>
              <w:bottom w:val="single" w:sz="4" w:space="0" w:color="FF777C"/>
              <w:right w:val="nil"/>
            </w:tcBorders>
            <w:tcMar>
              <w:top w:w="56" w:type="dxa"/>
              <w:left w:w="0" w:type="dxa"/>
              <w:bottom w:w="85" w:type="dxa"/>
              <w:right w:w="0" w:type="dxa"/>
            </w:tcMar>
            <w:vAlign w:val="bottom"/>
          </w:tcPr>
          <w:p w14:paraId="5C6D217D" w14:textId="77777777" w:rsidR="0062640D" w:rsidRDefault="00C12A80">
            <w:pPr>
              <w:pStyle w:val="Accounts-Bracket"/>
            </w:pPr>
            <w:r>
              <w:t>(48,947)</w:t>
            </w:r>
          </w:p>
        </w:tc>
        <w:tc>
          <w:tcPr>
            <w:tcW w:w="1133" w:type="dxa"/>
            <w:tcBorders>
              <w:top w:val="single" w:sz="4" w:space="0" w:color="FF777C"/>
              <w:left w:val="nil"/>
              <w:bottom w:val="single" w:sz="4" w:space="0" w:color="FF777C"/>
              <w:right w:val="nil"/>
            </w:tcBorders>
            <w:tcMar>
              <w:top w:w="56" w:type="dxa"/>
              <w:left w:w="0" w:type="dxa"/>
              <w:bottom w:w="85" w:type="dxa"/>
              <w:right w:w="0" w:type="dxa"/>
            </w:tcMar>
            <w:vAlign w:val="bottom"/>
          </w:tcPr>
          <w:p w14:paraId="61AAAC2C" w14:textId="03429215" w:rsidR="0062640D" w:rsidRDefault="00C12A80">
            <w:pPr>
              <w:pStyle w:val="Accounts-Bracket"/>
            </w:pPr>
            <w:r>
              <w:t>(2,</w:t>
            </w:r>
            <w:r w:rsidR="00647696">
              <w:t>552</w:t>
            </w:r>
            <w:r>
              <w:t>)</w:t>
            </w:r>
          </w:p>
        </w:tc>
        <w:tc>
          <w:tcPr>
            <w:tcW w:w="1133" w:type="dxa"/>
            <w:tcBorders>
              <w:top w:val="single" w:sz="4" w:space="0" w:color="FF777C"/>
              <w:left w:val="nil"/>
              <w:bottom w:val="single" w:sz="4" w:space="0" w:color="FF777C"/>
              <w:right w:val="nil"/>
            </w:tcBorders>
            <w:tcMar>
              <w:top w:w="56" w:type="dxa"/>
              <w:left w:w="0" w:type="dxa"/>
              <w:bottom w:w="85" w:type="dxa"/>
              <w:right w:w="0" w:type="dxa"/>
            </w:tcMar>
            <w:vAlign w:val="bottom"/>
          </w:tcPr>
          <w:p w14:paraId="6B9C062C" w14:textId="4B322457" w:rsidR="0062640D" w:rsidRDefault="00C12A80">
            <w:pPr>
              <w:pStyle w:val="Accounts-Bracket"/>
            </w:pPr>
            <w:r>
              <w:t>(51,</w:t>
            </w:r>
            <w:r w:rsidR="00647696">
              <w:t>499</w:t>
            </w:r>
            <w:r>
              <w:t>)</w:t>
            </w:r>
          </w:p>
        </w:tc>
      </w:tr>
      <w:tr w:rsidR="0062640D" w14:paraId="5B9847B5" w14:textId="77777777">
        <w:tc>
          <w:tcPr>
            <w:tcW w:w="6679" w:type="dxa"/>
            <w:tcBorders>
              <w:top w:val="single" w:sz="4"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00A87D16" w14:textId="77777777" w:rsidR="0062640D" w:rsidRDefault="0062640D"/>
        </w:tc>
        <w:tc>
          <w:tcPr>
            <w:tcW w:w="1133" w:type="dxa"/>
            <w:tcBorders>
              <w:top w:val="single" w:sz="4"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5AD36A7D" w14:textId="77777777" w:rsidR="0062640D" w:rsidRDefault="0062640D"/>
        </w:tc>
        <w:tc>
          <w:tcPr>
            <w:tcW w:w="1133" w:type="dxa"/>
            <w:tcBorders>
              <w:top w:val="single" w:sz="4"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7BA931C6" w14:textId="77777777" w:rsidR="0062640D" w:rsidRDefault="0062640D"/>
        </w:tc>
        <w:tc>
          <w:tcPr>
            <w:tcW w:w="1133" w:type="dxa"/>
            <w:tcBorders>
              <w:top w:val="single" w:sz="4"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24E7619B" w14:textId="77777777" w:rsidR="0062640D" w:rsidRDefault="0062640D"/>
        </w:tc>
      </w:tr>
      <w:tr w:rsidR="0062640D" w14:paraId="1EBC78DE" w14:textId="77777777">
        <w:tc>
          <w:tcPr>
            <w:tcW w:w="6679"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7C03C0C5" w14:textId="77777777" w:rsidR="0062640D" w:rsidRDefault="00C12A80">
            <w:pPr>
              <w:pStyle w:val="Heading-2"/>
            </w:pPr>
            <w:r>
              <w:t>Carrying amounts</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3707337D" w14:textId="77777777" w:rsidR="0062640D" w:rsidRDefault="0062640D"/>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2A4F07DF" w14:textId="77777777" w:rsidR="0062640D" w:rsidRDefault="0062640D"/>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34EDB819" w14:textId="77777777" w:rsidR="0062640D" w:rsidRDefault="0062640D"/>
        </w:tc>
      </w:tr>
      <w:tr w:rsidR="0062640D" w14:paraId="5B7D8392" w14:textId="77777777">
        <w:tc>
          <w:tcPr>
            <w:tcW w:w="6679"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3F7591B3" w14:textId="77777777" w:rsidR="0062640D" w:rsidRDefault="0062640D"/>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C634A95" w14:textId="77777777" w:rsidR="0062640D" w:rsidRDefault="0062640D"/>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283105B4" w14:textId="77777777" w:rsidR="0062640D" w:rsidRDefault="0062640D"/>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7BB4A07B" w14:textId="77777777" w:rsidR="0062640D" w:rsidRDefault="0062640D"/>
        </w:tc>
      </w:tr>
      <w:tr w:rsidR="0062640D" w14:paraId="52807A49" w14:textId="77777777">
        <w:tc>
          <w:tcPr>
            <w:tcW w:w="6679"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792D5FA9" w14:textId="77777777" w:rsidR="0062640D" w:rsidRDefault="00C12A80">
            <w:pPr>
              <w:pStyle w:val="Heading-2"/>
            </w:pPr>
            <w:r>
              <w:t>At 31 December 2024</w:t>
            </w:r>
          </w:p>
        </w:tc>
        <w:tc>
          <w:tcPr>
            <w:tcW w:w="113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5CBBDE9D" w14:textId="77777777" w:rsidR="0062640D" w:rsidRDefault="00C12A80">
            <w:pPr>
              <w:pStyle w:val="AccountsBold"/>
            </w:pPr>
            <w:r>
              <w:t>53,649</w:t>
            </w:r>
          </w:p>
        </w:tc>
        <w:tc>
          <w:tcPr>
            <w:tcW w:w="113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2E580F6B" w14:textId="77777777" w:rsidR="0062640D" w:rsidRDefault="00C12A80">
            <w:pPr>
              <w:pStyle w:val="AccountsBold"/>
            </w:pPr>
            <w:r>
              <w:t>-</w:t>
            </w:r>
          </w:p>
        </w:tc>
        <w:tc>
          <w:tcPr>
            <w:tcW w:w="1133"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0354424F" w14:textId="77777777" w:rsidR="0062640D" w:rsidRDefault="00C12A80">
            <w:pPr>
              <w:pStyle w:val="AccountsBold"/>
            </w:pPr>
            <w:r>
              <w:t>53,649</w:t>
            </w:r>
          </w:p>
        </w:tc>
      </w:tr>
      <w:tr w:rsidR="0062640D" w14:paraId="02C70D45" w14:textId="77777777">
        <w:tc>
          <w:tcPr>
            <w:tcW w:w="6679"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25E01518" w14:textId="77777777" w:rsidR="0062640D" w:rsidRDefault="00C12A80">
            <w:r>
              <w:t>At 31 December 2023</w:t>
            </w:r>
          </w:p>
        </w:tc>
        <w:tc>
          <w:tcPr>
            <w:tcW w:w="113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20960AA5" w14:textId="77777777" w:rsidR="0062640D" w:rsidRDefault="00C12A80">
            <w:pPr>
              <w:pStyle w:val="Accounts"/>
            </w:pPr>
            <w:r>
              <w:t>53,822</w:t>
            </w:r>
          </w:p>
        </w:tc>
        <w:tc>
          <w:tcPr>
            <w:tcW w:w="113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37231603" w14:textId="77777777" w:rsidR="0062640D" w:rsidRDefault="00C12A80">
            <w:pPr>
              <w:pStyle w:val="Accounts"/>
            </w:pPr>
            <w:r>
              <w:t>252</w:t>
            </w:r>
          </w:p>
        </w:tc>
        <w:tc>
          <w:tcPr>
            <w:tcW w:w="1133"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58104229" w14:textId="77777777" w:rsidR="0062640D" w:rsidRDefault="00C12A80">
            <w:pPr>
              <w:pStyle w:val="Accounts"/>
            </w:pPr>
            <w:r>
              <w:t>54,074</w:t>
            </w:r>
          </w:p>
        </w:tc>
      </w:tr>
    </w:tbl>
    <w:p w14:paraId="2954B289" w14:textId="77777777" w:rsidR="0062640D" w:rsidRDefault="0062640D"/>
    <w:p w14:paraId="3151FA87" w14:textId="77777777" w:rsidR="0062640D" w:rsidRDefault="00C12A80">
      <w:pPr>
        <w:pStyle w:val="Heading-2"/>
      </w:pPr>
      <w:r>
        <w:t>Goodwill</w:t>
      </w:r>
    </w:p>
    <w:p w14:paraId="1FA6B0C9" w14:textId="77777777" w:rsidR="00647696" w:rsidRPr="006B0F6B" w:rsidRDefault="00647696" w:rsidP="00647696">
      <w:r w:rsidRPr="006B0F6B">
        <w:t xml:space="preserve">Goodwill is attributable to factors including expected profitability and revenue growth, increased market share, increased geographical presence, the opportunity to develop the Group’s brands and the synergies expected to arise within the Group after acquisition.  </w:t>
      </w:r>
    </w:p>
    <w:p w14:paraId="58D8DA65" w14:textId="77777777" w:rsidR="00647696" w:rsidRPr="006B0F6B" w:rsidRDefault="00647696" w:rsidP="00647696">
      <w:pPr>
        <w:rPr>
          <w:color w:val="FF0000"/>
        </w:rPr>
      </w:pPr>
      <w:r w:rsidRPr="006B0F6B">
        <w:t xml:space="preserve"> </w:t>
      </w:r>
    </w:p>
    <w:p w14:paraId="5BD0F6A7" w14:textId="05E6ECD2" w:rsidR="00585F2A" w:rsidRPr="006B0F6B" w:rsidRDefault="00585F2A" w:rsidP="00585F2A">
      <w:r w:rsidRPr="006B0F6B">
        <w:t xml:space="preserve">During the year, the Group disposed of Maldron Hotel Wexford, disposing of goodwill of €0.2 million. At 31 December 2024, the goodwill associated with </w:t>
      </w:r>
      <w:r w:rsidR="008C2BDB">
        <w:t xml:space="preserve">Clayton Whites Hotel, Wexford </w:t>
      </w:r>
      <w:r w:rsidRPr="006B0F6B">
        <w:t xml:space="preserve">of €0.6 million, was reclassified to held for sale </w:t>
      </w:r>
      <w:r w:rsidRPr="006B0F6B">
        <w:rPr>
          <w:color w:val="E97132" w:themeColor="accent2"/>
        </w:rPr>
        <w:t>(</w:t>
      </w:r>
      <w:hyperlink w:anchor="note-18" w:history="1">
        <w:r w:rsidRPr="001D58A0">
          <w:rPr>
            <w:rStyle w:val="Hyperlink"/>
          </w:rPr>
          <w:t>note 18</w:t>
        </w:r>
      </w:hyperlink>
      <w:r w:rsidRPr="006B0F6B">
        <w:t xml:space="preserve">). </w:t>
      </w:r>
    </w:p>
    <w:p w14:paraId="55BFEB2D" w14:textId="77777777" w:rsidR="0062640D" w:rsidRDefault="0062640D"/>
    <w:p w14:paraId="3EADF40A" w14:textId="77777777" w:rsidR="0062640D" w:rsidRDefault="00C12A80">
      <w:r>
        <w:t>As at 31 December 2024, the goodwill cost figure includes €12.4 million (£10.3 million) which is attributable to goodwill arising on acquisition of foreign operations denominated in sterling. Consequently, such goodwill is subsequently retranslated at the closing rate. The retranslation at 31 December 2024 resulted in a foreign exchange gain of €0.6 million and a corresponding increase in goodwill. The comparative retranslation at 31 December 2023 resulted in a foreign exchange gain of €0.2 million.</w:t>
      </w:r>
    </w:p>
    <w:p w14:paraId="3278038B" w14:textId="77777777" w:rsidR="0062640D" w:rsidRDefault="0062640D"/>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5364"/>
        <w:gridCol w:w="2449"/>
        <w:gridCol w:w="1125"/>
        <w:gridCol w:w="1141"/>
      </w:tblGrid>
      <w:tr w:rsidR="0062640D" w14:paraId="1E2FA573" w14:textId="77777777">
        <w:tc>
          <w:tcPr>
            <w:tcW w:w="5364" w:type="dxa"/>
            <w:tcBorders>
              <w:top w:val="nil"/>
              <w:left w:val="nil"/>
              <w:bottom w:val="nil"/>
              <w:right w:val="nil"/>
            </w:tcBorders>
            <w:tcMar>
              <w:top w:w="0" w:type="dxa"/>
              <w:left w:w="0" w:type="dxa"/>
              <w:bottom w:w="0" w:type="dxa"/>
              <w:right w:w="0" w:type="dxa"/>
            </w:tcMar>
            <w:vAlign w:val="bottom"/>
          </w:tcPr>
          <w:p w14:paraId="412CB227" w14:textId="77777777" w:rsidR="0062640D" w:rsidRDefault="0062640D"/>
        </w:tc>
        <w:tc>
          <w:tcPr>
            <w:tcW w:w="2449" w:type="dxa"/>
            <w:tcBorders>
              <w:top w:val="nil"/>
              <w:left w:val="nil"/>
              <w:bottom w:val="nil"/>
              <w:right w:val="nil"/>
            </w:tcBorders>
            <w:tcMar>
              <w:top w:w="0" w:type="dxa"/>
              <w:left w:w="0" w:type="dxa"/>
              <w:bottom w:w="0" w:type="dxa"/>
              <w:right w:w="0" w:type="dxa"/>
            </w:tcMar>
            <w:vAlign w:val="bottom"/>
          </w:tcPr>
          <w:p w14:paraId="6ABB6705" w14:textId="77777777" w:rsidR="0062640D" w:rsidRDefault="00C12A80">
            <w:pPr>
              <w:pStyle w:val="Table-Headings"/>
            </w:pPr>
            <w:r>
              <w:t>Number of cash-generating units</w:t>
            </w:r>
          </w:p>
        </w:tc>
        <w:tc>
          <w:tcPr>
            <w:tcW w:w="1125" w:type="dxa"/>
            <w:tcBorders>
              <w:top w:val="nil"/>
              <w:left w:val="nil"/>
              <w:bottom w:val="nil"/>
              <w:right w:val="nil"/>
            </w:tcBorders>
            <w:tcMar>
              <w:top w:w="0" w:type="dxa"/>
              <w:left w:w="0" w:type="dxa"/>
              <w:bottom w:w="0" w:type="dxa"/>
              <w:right w:w="0" w:type="dxa"/>
            </w:tcMar>
            <w:vAlign w:val="bottom"/>
          </w:tcPr>
          <w:p w14:paraId="326C1763" w14:textId="77777777" w:rsidR="0062640D" w:rsidRDefault="0062640D"/>
        </w:tc>
        <w:tc>
          <w:tcPr>
            <w:tcW w:w="1141" w:type="dxa"/>
            <w:tcBorders>
              <w:top w:val="nil"/>
              <w:left w:val="nil"/>
              <w:bottom w:val="nil"/>
              <w:right w:val="nil"/>
            </w:tcBorders>
            <w:tcMar>
              <w:top w:w="0" w:type="dxa"/>
              <w:left w:w="0" w:type="dxa"/>
              <w:bottom w:w="0" w:type="dxa"/>
              <w:right w:w="0" w:type="dxa"/>
            </w:tcMar>
            <w:vAlign w:val="bottom"/>
          </w:tcPr>
          <w:p w14:paraId="77CA125E" w14:textId="77777777" w:rsidR="0062640D" w:rsidRDefault="0062640D"/>
        </w:tc>
      </w:tr>
      <w:tr w:rsidR="0062640D" w14:paraId="622C1D55" w14:textId="77777777">
        <w:tc>
          <w:tcPr>
            <w:tcW w:w="5364" w:type="dxa"/>
            <w:tcBorders>
              <w:top w:val="nil"/>
              <w:left w:val="nil"/>
              <w:bottom w:val="nil"/>
              <w:right w:val="nil"/>
            </w:tcBorders>
            <w:tcMar>
              <w:top w:w="45" w:type="dxa"/>
              <w:left w:w="0" w:type="dxa"/>
              <w:bottom w:w="56" w:type="dxa"/>
              <w:right w:w="0" w:type="dxa"/>
            </w:tcMar>
            <w:vAlign w:val="bottom"/>
          </w:tcPr>
          <w:p w14:paraId="24EAE5A6" w14:textId="77777777" w:rsidR="0062640D" w:rsidRDefault="0062640D"/>
        </w:tc>
        <w:tc>
          <w:tcPr>
            <w:tcW w:w="2449" w:type="dxa"/>
            <w:tcBorders>
              <w:top w:val="nil"/>
              <w:left w:val="nil"/>
              <w:bottom w:val="nil"/>
              <w:right w:val="nil"/>
            </w:tcBorders>
            <w:tcMar>
              <w:top w:w="45" w:type="dxa"/>
              <w:left w:w="0" w:type="dxa"/>
              <w:bottom w:w="56" w:type="dxa"/>
              <w:right w:w="0" w:type="dxa"/>
            </w:tcMar>
            <w:vAlign w:val="bottom"/>
          </w:tcPr>
          <w:p w14:paraId="6278E5F9" w14:textId="77777777" w:rsidR="0062640D" w:rsidRDefault="00C12A80">
            <w:pPr>
              <w:pStyle w:val="Table-Headings"/>
            </w:pPr>
            <w:r>
              <w:t xml:space="preserve">At 31 December 2024 </w:t>
            </w:r>
          </w:p>
        </w:tc>
        <w:tc>
          <w:tcPr>
            <w:tcW w:w="1125" w:type="dxa"/>
            <w:tcBorders>
              <w:top w:val="nil"/>
              <w:left w:val="nil"/>
              <w:bottom w:val="nil"/>
              <w:right w:val="nil"/>
            </w:tcBorders>
            <w:tcMar>
              <w:top w:w="45" w:type="dxa"/>
              <w:left w:w="0" w:type="dxa"/>
              <w:bottom w:w="56" w:type="dxa"/>
              <w:right w:w="0" w:type="dxa"/>
            </w:tcMar>
            <w:vAlign w:val="bottom"/>
          </w:tcPr>
          <w:p w14:paraId="531B6509" w14:textId="77777777" w:rsidR="0062640D" w:rsidRDefault="00C12A80">
            <w:pPr>
              <w:pStyle w:val="Table-Headings"/>
            </w:pPr>
            <w:r>
              <w:t>2024</w:t>
            </w:r>
          </w:p>
        </w:tc>
        <w:tc>
          <w:tcPr>
            <w:tcW w:w="1141" w:type="dxa"/>
            <w:tcBorders>
              <w:top w:val="nil"/>
              <w:left w:val="nil"/>
              <w:bottom w:val="nil"/>
              <w:right w:val="nil"/>
            </w:tcBorders>
            <w:tcMar>
              <w:top w:w="56" w:type="dxa"/>
              <w:left w:w="0" w:type="dxa"/>
              <w:bottom w:w="85" w:type="dxa"/>
              <w:right w:w="0" w:type="dxa"/>
            </w:tcMar>
            <w:vAlign w:val="bottom"/>
          </w:tcPr>
          <w:p w14:paraId="5CFFF378" w14:textId="77777777" w:rsidR="0062640D" w:rsidRDefault="00C12A80">
            <w:pPr>
              <w:pStyle w:val="Table-Headings"/>
            </w:pPr>
            <w:r>
              <w:t>2023</w:t>
            </w:r>
          </w:p>
        </w:tc>
      </w:tr>
      <w:tr w:rsidR="0062640D" w14:paraId="0C50EEA6" w14:textId="77777777">
        <w:tc>
          <w:tcPr>
            <w:tcW w:w="5364" w:type="dxa"/>
            <w:tcBorders>
              <w:top w:val="nil"/>
              <w:left w:val="none" w:sz="8" w:space="0" w:color="auto"/>
              <w:bottom w:val="single" w:sz="6" w:space="0" w:color="FF777C"/>
              <w:right w:val="none" w:sz="8" w:space="0" w:color="auto"/>
            </w:tcBorders>
            <w:tcMar>
              <w:top w:w="45" w:type="dxa"/>
              <w:left w:w="0" w:type="dxa"/>
              <w:bottom w:w="56" w:type="dxa"/>
              <w:right w:w="0" w:type="dxa"/>
            </w:tcMar>
            <w:vAlign w:val="bottom"/>
          </w:tcPr>
          <w:p w14:paraId="516E1E72" w14:textId="77777777" w:rsidR="0062640D" w:rsidRDefault="00C12A80">
            <w:pPr>
              <w:pStyle w:val="Table-Headings"/>
              <w:jc w:val="left"/>
            </w:pPr>
            <w:r>
              <w:t>Carrying amount of goodwill allocated</w:t>
            </w:r>
          </w:p>
        </w:tc>
        <w:tc>
          <w:tcPr>
            <w:tcW w:w="2449" w:type="dxa"/>
            <w:tcBorders>
              <w:top w:val="nil"/>
              <w:left w:val="none" w:sz="8" w:space="0" w:color="auto"/>
              <w:bottom w:val="single" w:sz="6" w:space="0" w:color="FF777C"/>
              <w:right w:val="none" w:sz="8" w:space="0" w:color="auto"/>
            </w:tcBorders>
            <w:tcMar>
              <w:top w:w="45" w:type="dxa"/>
              <w:left w:w="0" w:type="dxa"/>
              <w:bottom w:w="56" w:type="dxa"/>
              <w:right w:w="0" w:type="dxa"/>
            </w:tcMar>
            <w:vAlign w:val="bottom"/>
          </w:tcPr>
          <w:p w14:paraId="0892C9B8" w14:textId="77777777" w:rsidR="0062640D" w:rsidRDefault="0062640D"/>
        </w:tc>
        <w:tc>
          <w:tcPr>
            <w:tcW w:w="1125" w:type="dxa"/>
            <w:tcBorders>
              <w:top w:val="nil"/>
              <w:left w:val="none" w:sz="8" w:space="0" w:color="auto"/>
              <w:bottom w:val="single" w:sz="6" w:space="0" w:color="FF777C"/>
              <w:right w:val="none" w:sz="8" w:space="0" w:color="auto"/>
            </w:tcBorders>
            <w:tcMar>
              <w:top w:w="45" w:type="dxa"/>
              <w:left w:w="0" w:type="dxa"/>
              <w:bottom w:w="56" w:type="dxa"/>
              <w:right w:w="0" w:type="dxa"/>
            </w:tcMar>
            <w:vAlign w:val="bottom"/>
          </w:tcPr>
          <w:p w14:paraId="02514435" w14:textId="77777777" w:rsidR="0062640D" w:rsidRDefault="00C12A80">
            <w:pPr>
              <w:pStyle w:val="Table-Headings"/>
            </w:pPr>
            <w:r>
              <w:t>€’000</w:t>
            </w:r>
          </w:p>
        </w:tc>
        <w:tc>
          <w:tcPr>
            <w:tcW w:w="1141" w:type="dxa"/>
            <w:tcBorders>
              <w:top w:val="nil"/>
              <w:left w:val="none" w:sz="8" w:space="0" w:color="auto"/>
              <w:bottom w:val="single" w:sz="6" w:space="0" w:color="FF777C"/>
              <w:right w:val="none" w:sz="8" w:space="0" w:color="auto"/>
            </w:tcBorders>
            <w:tcMar>
              <w:top w:w="56" w:type="dxa"/>
              <w:left w:w="0" w:type="dxa"/>
              <w:bottom w:w="85" w:type="dxa"/>
              <w:right w:w="0" w:type="dxa"/>
            </w:tcMar>
            <w:vAlign w:val="bottom"/>
          </w:tcPr>
          <w:p w14:paraId="02B246C0" w14:textId="77777777" w:rsidR="0062640D" w:rsidRDefault="00C12A80">
            <w:pPr>
              <w:pStyle w:val="Table-Headings"/>
            </w:pPr>
            <w:r>
              <w:t>€’000</w:t>
            </w:r>
          </w:p>
        </w:tc>
      </w:tr>
      <w:tr w:rsidR="0062640D" w14:paraId="3BB57B46" w14:textId="77777777">
        <w:tc>
          <w:tcPr>
            <w:tcW w:w="5364"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17E017F1" w14:textId="77777777" w:rsidR="0062640D" w:rsidRDefault="00C12A80">
            <w:r>
              <w:t>Moran Bewley Hotel Group (</w:t>
            </w:r>
            <w:proofErr w:type="spellStart"/>
            <w:r>
              <w:t>i</w:t>
            </w:r>
            <w:proofErr w:type="spellEnd"/>
            <w:r>
              <w:t>)</w:t>
            </w:r>
          </w:p>
        </w:tc>
        <w:tc>
          <w:tcPr>
            <w:tcW w:w="2449"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0B0328E7" w14:textId="77777777" w:rsidR="0062640D" w:rsidRDefault="00C12A80">
            <w:pPr>
              <w:pStyle w:val="AccountsBold"/>
            </w:pPr>
            <w:r>
              <w:t>7</w:t>
            </w:r>
          </w:p>
        </w:tc>
        <w:tc>
          <w:tcPr>
            <w:tcW w:w="1125"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1344D79E" w14:textId="77777777" w:rsidR="0062640D" w:rsidRDefault="00C12A80">
            <w:pPr>
              <w:pStyle w:val="AccountsBold"/>
            </w:pPr>
            <w:r>
              <w:t>25,245</w:t>
            </w:r>
          </w:p>
        </w:tc>
        <w:tc>
          <w:tcPr>
            <w:tcW w:w="1141" w:type="dxa"/>
            <w:tcBorders>
              <w:top w:val="single" w:sz="6" w:space="0" w:color="FF777C"/>
              <w:left w:val="none" w:sz="8" w:space="0" w:color="auto"/>
              <w:bottom w:val="none" w:sz="8" w:space="0" w:color="auto"/>
              <w:right w:val="none" w:sz="8" w:space="0" w:color="auto"/>
            </w:tcBorders>
            <w:tcMar>
              <w:top w:w="56" w:type="dxa"/>
              <w:left w:w="0" w:type="dxa"/>
              <w:bottom w:w="85" w:type="dxa"/>
              <w:right w:w="0" w:type="dxa"/>
            </w:tcMar>
            <w:vAlign w:val="bottom"/>
          </w:tcPr>
          <w:p w14:paraId="5310846F" w14:textId="77777777" w:rsidR="0062640D" w:rsidRDefault="00C12A80">
            <w:pPr>
              <w:pStyle w:val="Accounts"/>
            </w:pPr>
            <w:r>
              <w:t>24,725</w:t>
            </w:r>
          </w:p>
        </w:tc>
      </w:tr>
      <w:tr w:rsidR="0062640D" w14:paraId="34CFACED" w14:textId="77777777">
        <w:tc>
          <w:tcPr>
            <w:tcW w:w="5364"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3C46F1BD" w14:textId="77777777" w:rsidR="0062640D" w:rsidRDefault="00C12A80">
            <w:r>
              <w:t>Other acquisitions (</w:t>
            </w:r>
            <w:proofErr w:type="spellStart"/>
            <w:r>
              <w:t>i</w:t>
            </w:r>
            <w:proofErr w:type="spellEnd"/>
            <w:r>
              <w:t>)</w:t>
            </w:r>
          </w:p>
        </w:tc>
        <w:tc>
          <w:tcPr>
            <w:tcW w:w="2449"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08B4BA2D" w14:textId="77777777" w:rsidR="0062640D" w:rsidRDefault="00C12A80">
            <w:pPr>
              <w:pStyle w:val="AccountsBold"/>
            </w:pPr>
            <w:r>
              <w:t>2</w:t>
            </w:r>
          </w:p>
        </w:tc>
        <w:tc>
          <w:tcPr>
            <w:tcW w:w="1125"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8571403" w14:textId="77777777" w:rsidR="0062640D" w:rsidRDefault="00C12A80">
            <w:pPr>
              <w:pStyle w:val="AccountsBold"/>
            </w:pPr>
            <w:r>
              <w:t>810</w:t>
            </w:r>
          </w:p>
        </w:tc>
        <w:tc>
          <w:tcPr>
            <w:tcW w:w="1141"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5FA76B63" w14:textId="77777777" w:rsidR="0062640D" w:rsidRDefault="00C12A80">
            <w:pPr>
              <w:pStyle w:val="Accounts"/>
            </w:pPr>
            <w:r>
              <w:t>1,327</w:t>
            </w:r>
          </w:p>
        </w:tc>
      </w:tr>
      <w:tr w:rsidR="0062640D" w14:paraId="3CFB821B" w14:textId="77777777">
        <w:tc>
          <w:tcPr>
            <w:tcW w:w="5364"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E29D285" w14:textId="77777777" w:rsidR="0062640D" w:rsidRDefault="00C12A80">
            <w:r>
              <w:t>2007 Irish hotel operations acquired (ii)</w:t>
            </w:r>
          </w:p>
        </w:tc>
        <w:tc>
          <w:tcPr>
            <w:tcW w:w="2449"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57E0AAA" w14:textId="77777777" w:rsidR="0062640D" w:rsidRDefault="00C12A80">
            <w:pPr>
              <w:pStyle w:val="AccountsBold"/>
            </w:pPr>
            <w:r>
              <w:t>2</w:t>
            </w:r>
          </w:p>
        </w:tc>
        <w:tc>
          <w:tcPr>
            <w:tcW w:w="1125"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0F6BE724" w14:textId="77777777" w:rsidR="0062640D" w:rsidRDefault="00C12A80">
            <w:pPr>
              <w:pStyle w:val="AccountsBold"/>
            </w:pPr>
            <w:r>
              <w:t>4,169</w:t>
            </w:r>
          </w:p>
        </w:tc>
        <w:tc>
          <w:tcPr>
            <w:tcW w:w="1141"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398EF937" w14:textId="77777777" w:rsidR="0062640D" w:rsidRDefault="00C12A80">
            <w:pPr>
              <w:pStyle w:val="Accounts"/>
            </w:pPr>
            <w:r>
              <w:t>4,345</w:t>
            </w:r>
          </w:p>
        </w:tc>
      </w:tr>
      <w:tr w:rsidR="0062640D" w14:paraId="25470BAC" w14:textId="77777777">
        <w:tc>
          <w:tcPr>
            <w:tcW w:w="5364"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17BB1875" w14:textId="77777777" w:rsidR="0062640D" w:rsidRDefault="00C12A80">
            <w:r>
              <w:t>Clayton Hotel Amsterdam American (iii)</w:t>
            </w:r>
          </w:p>
        </w:tc>
        <w:tc>
          <w:tcPr>
            <w:tcW w:w="2449"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7FA60163" w14:textId="77777777" w:rsidR="0062640D" w:rsidRDefault="00C12A80">
            <w:pPr>
              <w:pStyle w:val="AccountsBold"/>
            </w:pPr>
            <w:r>
              <w:t>1</w:t>
            </w:r>
          </w:p>
        </w:tc>
        <w:tc>
          <w:tcPr>
            <w:tcW w:w="1125"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1E903EB5" w14:textId="77777777" w:rsidR="0062640D" w:rsidRDefault="00C12A80">
            <w:pPr>
              <w:pStyle w:val="AccountsBold"/>
            </w:pPr>
            <w:r>
              <w:t>23,425</w:t>
            </w:r>
          </w:p>
        </w:tc>
        <w:tc>
          <w:tcPr>
            <w:tcW w:w="1141" w:type="dxa"/>
            <w:tcBorders>
              <w:top w:val="none" w:sz="8" w:space="0" w:color="auto"/>
              <w:left w:val="none" w:sz="8" w:space="0" w:color="auto"/>
              <w:bottom w:val="single" w:sz="2" w:space="0" w:color="FF777C"/>
              <w:right w:val="none" w:sz="8" w:space="0" w:color="auto"/>
            </w:tcBorders>
            <w:tcMar>
              <w:top w:w="56" w:type="dxa"/>
              <w:left w:w="0" w:type="dxa"/>
              <w:bottom w:w="85" w:type="dxa"/>
              <w:right w:w="0" w:type="dxa"/>
            </w:tcMar>
            <w:vAlign w:val="bottom"/>
          </w:tcPr>
          <w:p w14:paraId="1EC27674" w14:textId="77777777" w:rsidR="0062640D" w:rsidRDefault="00C12A80">
            <w:pPr>
              <w:pStyle w:val="Accounts"/>
            </w:pPr>
            <w:r>
              <w:t>23,425</w:t>
            </w:r>
          </w:p>
        </w:tc>
      </w:tr>
      <w:tr w:rsidR="0062640D" w14:paraId="76916B3E" w14:textId="77777777">
        <w:tc>
          <w:tcPr>
            <w:tcW w:w="5364"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31977C8F" w14:textId="77777777" w:rsidR="0062640D" w:rsidRDefault="0062640D"/>
        </w:tc>
        <w:tc>
          <w:tcPr>
            <w:tcW w:w="2449"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1B9240D5" w14:textId="77777777" w:rsidR="0062640D" w:rsidRDefault="00C12A80">
            <w:pPr>
              <w:pStyle w:val="AccountsBold"/>
            </w:pPr>
            <w:r>
              <w:t>12</w:t>
            </w:r>
          </w:p>
        </w:tc>
        <w:tc>
          <w:tcPr>
            <w:tcW w:w="1125"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54CDFEC6" w14:textId="77777777" w:rsidR="0062640D" w:rsidRDefault="00C12A80">
            <w:pPr>
              <w:pStyle w:val="AccountsBold"/>
            </w:pPr>
            <w:r>
              <w:t>53,649</w:t>
            </w:r>
          </w:p>
        </w:tc>
        <w:tc>
          <w:tcPr>
            <w:tcW w:w="1141" w:type="dxa"/>
            <w:tcBorders>
              <w:top w:val="single" w:sz="2" w:space="0" w:color="FF777C"/>
              <w:left w:val="none" w:sz="8" w:space="0" w:color="auto"/>
              <w:bottom w:val="single" w:sz="6" w:space="0" w:color="FF777C"/>
              <w:right w:val="none" w:sz="8" w:space="0" w:color="auto"/>
            </w:tcBorders>
            <w:tcMar>
              <w:top w:w="56" w:type="dxa"/>
              <w:left w:w="0" w:type="dxa"/>
              <w:bottom w:w="85" w:type="dxa"/>
              <w:right w:w="0" w:type="dxa"/>
            </w:tcMar>
            <w:vAlign w:val="bottom"/>
          </w:tcPr>
          <w:p w14:paraId="7DB3D222" w14:textId="77777777" w:rsidR="0062640D" w:rsidRDefault="00C12A80">
            <w:pPr>
              <w:pStyle w:val="Accounts"/>
            </w:pPr>
            <w:r>
              <w:t>53,822</w:t>
            </w:r>
          </w:p>
        </w:tc>
      </w:tr>
    </w:tbl>
    <w:p w14:paraId="43CC2455" w14:textId="77777777" w:rsidR="0062640D" w:rsidRDefault="0062640D"/>
    <w:p w14:paraId="099A9FA2" w14:textId="77777777" w:rsidR="0062640D" w:rsidRDefault="00C12A80">
      <w:r>
        <w:t xml:space="preserve">The above table represents the number of CGUs to which goodwill was allocated at 31 December 2024. </w:t>
      </w:r>
    </w:p>
    <w:p w14:paraId="0BEAB9A9" w14:textId="77777777" w:rsidR="0062640D" w:rsidRDefault="0062640D"/>
    <w:p w14:paraId="46E13786" w14:textId="77777777" w:rsidR="0062640D" w:rsidRDefault="00C12A80">
      <w:pPr>
        <w:pStyle w:val="Heading-2"/>
      </w:pPr>
      <w:r>
        <w:t>Annual goodwill testing</w:t>
      </w:r>
    </w:p>
    <w:p w14:paraId="491BF32F" w14:textId="77777777" w:rsidR="0062640D" w:rsidRDefault="00C12A80">
      <w:r>
        <w:t xml:space="preserve">The Group tests goodwill annually for impairment and more frequently if there are indications that goodwill might be impaired. Due to the Group’s policy of revaluation of land and buildings, and the allocation of goodwill to individual CGUs, impairment of goodwill can occur for CGUs where the Group owns the freehold as the Group realises the profit and revenue growth and synergies which underpinned the goodwill. As these materialise, they are recorded as revaluation gains to the carrying value of the property and consequently, elements of goodwill may be required to be written off if the carrying value of the CGU (which includes revalued property and allocated goodwill) exceeds its recoverable amount on a VIU basis. The impairment of goodwill is recorded through profit or loss though the revaluation gains on property are taken to reserves through other comprehensive income provided there were no previous impairment charges through profit or loss. </w:t>
      </w:r>
    </w:p>
    <w:p w14:paraId="74098057" w14:textId="77777777" w:rsidR="00647696" w:rsidRDefault="00647696"/>
    <w:p w14:paraId="0C976CE3" w14:textId="64424B52" w:rsidR="00647696" w:rsidRPr="006B0F6B" w:rsidRDefault="00647696" w:rsidP="00647696">
      <w:r w:rsidRPr="006B0F6B">
        <w:t>At 31 December 2024, the recoverable amounts of the CGUs were based on VIU, determined by discounting the future cash flows generated from the continuing use of these hotels. Following the impairment assessment carried out at 31 December 2024, there was no impairment relating to the CGUs</w:t>
      </w:r>
      <w:r w:rsidR="009C76D9">
        <w:t xml:space="preserve"> with</w:t>
      </w:r>
      <w:r w:rsidR="000E3A05">
        <w:t xml:space="preserve"> a carrying value of goodwill</w:t>
      </w:r>
      <w:r w:rsidRPr="006B0F6B">
        <w:t xml:space="preserve"> (2023: €Nil).</w:t>
      </w:r>
      <w:r>
        <w:t xml:space="preserve"> </w:t>
      </w:r>
      <w:r w:rsidR="00CF5F24">
        <w:t>For freehold assets</w:t>
      </w:r>
      <w:r w:rsidR="00182968">
        <w:t>,</w:t>
      </w:r>
      <w:r w:rsidR="00CF5F24">
        <w:t xml:space="preserve"> c</w:t>
      </w:r>
      <w:r w:rsidRPr="006B0F6B">
        <w:t>osts of acquisition of a willing buyer which are factored in by external valuers when calculating the fair value price of the asset are significant for these assets (2024: Ireland 9.96%, UK 6.8%, 2023: Ireland 9.96%, UK 6.8%). Purchasers’ costs are a key difference between VIU and fair value less costs of disposal as prepared by external valuers</w:t>
      </w:r>
      <w:r>
        <w:t>.</w:t>
      </w:r>
      <w:r w:rsidRPr="006B0F6B">
        <w:t xml:space="preserve"> </w:t>
      </w:r>
      <w:hyperlink w:anchor="note-10" w:history="1">
        <w:r w:rsidRPr="001D58A0">
          <w:rPr>
            <w:rStyle w:val="Hyperlink"/>
          </w:rPr>
          <w:t>Note 10</w:t>
        </w:r>
      </w:hyperlink>
      <w:r w:rsidRPr="006B0F6B">
        <w:t xml:space="preserve"> details the assumptions used in the VIU estimates for impairment testing</w:t>
      </w:r>
      <w:r>
        <w:t>.</w:t>
      </w:r>
    </w:p>
    <w:p w14:paraId="703C1D5A" w14:textId="09082487" w:rsidR="0062640D" w:rsidRDefault="0062640D"/>
    <w:p w14:paraId="4D3EFDE1" w14:textId="77777777" w:rsidR="0062640D" w:rsidRDefault="00C12A80">
      <w:r>
        <w:t xml:space="preserve">Future under-performance in any of the Group’s major CGUs may result in a material write-down of goodwill which would have a substantial impact on the Group’s results and equity. </w:t>
      </w:r>
    </w:p>
    <w:p w14:paraId="049E8811" w14:textId="77777777" w:rsidR="0062640D" w:rsidRDefault="0062640D"/>
    <w:p w14:paraId="50D6BA28" w14:textId="77777777" w:rsidR="0062640D" w:rsidRDefault="00C12A80">
      <w:pPr>
        <w:pStyle w:val="Heading-3"/>
      </w:pPr>
      <w:r>
        <w:t>(</w:t>
      </w:r>
      <w:proofErr w:type="spellStart"/>
      <w:r>
        <w:t>i</w:t>
      </w:r>
      <w:proofErr w:type="spellEnd"/>
      <w:r>
        <w:t xml:space="preserve">) Moran Bewley Hotel Group and other single asset acquisitions </w:t>
      </w:r>
    </w:p>
    <w:p w14:paraId="67CBC1DE" w14:textId="3810962B" w:rsidR="00585F2A" w:rsidRPr="006B0F6B" w:rsidRDefault="00585F2A" w:rsidP="00585F2A">
      <w:r w:rsidRPr="006B0F6B">
        <w:t xml:space="preserve">For the purposes of impairment testing, goodwill has been allocated to each of the hotels acquired as CGUs. The freehold interest in the property is owned by the Group and therefore these hotel properties are valued annually by independent external valuers. As such the recoverable amount of each CGU is based on a fair value less costs of disposal estimate, or where this value is less than the carrying value of the asset, the VIU of the CGU is assessed. The goodwill relating to </w:t>
      </w:r>
      <w:r w:rsidR="008C2BDB">
        <w:t xml:space="preserve">Clayton Whites Hotel, Wexford </w:t>
      </w:r>
      <w:r w:rsidRPr="006B0F6B">
        <w:t>was reclassified to held for sale (</w:t>
      </w:r>
      <w:hyperlink w:anchor="note-18" w:history="1">
        <w:r w:rsidRPr="001D58A0">
          <w:rPr>
            <w:rStyle w:val="Hyperlink"/>
          </w:rPr>
          <w:t>note 18</w:t>
        </w:r>
      </w:hyperlink>
      <w:r w:rsidRPr="006B0F6B">
        <w:t xml:space="preserve">).  </w:t>
      </w:r>
    </w:p>
    <w:p w14:paraId="67C97DB4" w14:textId="77777777" w:rsidR="0062640D" w:rsidRDefault="0062640D"/>
    <w:p w14:paraId="37E84F1D" w14:textId="77777777" w:rsidR="0062640D" w:rsidRDefault="00C12A80">
      <w:pPr>
        <w:pStyle w:val="Heading-3"/>
      </w:pPr>
      <w:r>
        <w:t>(ii) 2007 Irish hotel operations acquired</w:t>
      </w:r>
    </w:p>
    <w:p w14:paraId="1CDE9327" w14:textId="77777777" w:rsidR="00647696" w:rsidRPr="006B0F6B" w:rsidRDefault="00647696" w:rsidP="00647696">
      <w:r w:rsidRPr="006B0F6B">
        <w:t xml:space="preserve">For the purposes of impairment testing, goodwill has been allocated to each of the CGUs representing the Irish hotel operations acquired in 2007. Eight hotels were acquired at that time but only four of these hotels had goodwill associated with them. The goodwill related to one of these CGUs was fully impaired (€2.6 million) during the year ended 31 December 2020. During 2024 the </w:t>
      </w:r>
      <w:r>
        <w:t>G</w:t>
      </w:r>
      <w:r w:rsidRPr="006B0F6B">
        <w:t xml:space="preserve">roup disposed of Maldron Hotel Wexford and the goodwill relating to the hotel was derecognised. The remaining two hotels are valued annually by independent external valuers, as the freehold interest in the property is now also owned by the Group. Where hotel properties are valued annually by independent external valuers, the recoverable amount of each CGU is based on a fair value less costs of disposal estimate, or where this value is less than the carrying value of the asset, the VIU of the CGU is assessed. The recoverable amount at 31 December 2024 of each of these CGUs which have associated goodwill is based on VIU. VIU is determined by discounting the future cash flows </w:t>
      </w:r>
      <w:r>
        <w:t>to be</w:t>
      </w:r>
      <w:r w:rsidRPr="006B0F6B">
        <w:t xml:space="preserve"> generated from the continuing use of these hotels. Following the impairment assessment carried out at 31 December 2024, there was no impairment of goodwill relating to these CGUs.</w:t>
      </w:r>
    </w:p>
    <w:p w14:paraId="498500EE" w14:textId="77777777" w:rsidR="0062640D" w:rsidRDefault="0062640D"/>
    <w:p w14:paraId="0E818BDF" w14:textId="77777777" w:rsidR="0062640D" w:rsidRDefault="00C12A80">
      <w:pPr>
        <w:pStyle w:val="Heading-3"/>
      </w:pPr>
      <w:r>
        <w:t>(iii) Clayton Hotel Amsterdam American</w:t>
      </w:r>
    </w:p>
    <w:p w14:paraId="3138806D" w14:textId="30342D68" w:rsidR="00647696" w:rsidRDefault="00647696" w:rsidP="00647696">
      <w:r w:rsidRPr="006B0F6B">
        <w:t xml:space="preserve">Goodwill of €23.4 million has been recognised due to the acquisition of </w:t>
      </w:r>
      <w:r w:rsidR="00182968">
        <w:t xml:space="preserve">the leasehold of </w:t>
      </w:r>
      <w:r w:rsidRPr="006B0F6B">
        <w:t>Clayton Hotel Amsterdam American, as the consideration exceeded the fair value of the identifiable net assets acquired.</w:t>
      </w:r>
      <w:r w:rsidR="00AF36FE">
        <w:t xml:space="preserve"> </w:t>
      </w:r>
      <w:r w:rsidRPr="006B0F6B">
        <w:t>The goodwill acquired as part of this transaction comprises certain intangible assets that cannot be separately identified. This includes future trading and the future growth opportunities the business provides to the Group’s operations due to the geographical location of the hotel, access to the Amsterdam market, which restricts new hotel developments, and the skills and experience of an assembled workforce.</w:t>
      </w:r>
    </w:p>
    <w:p w14:paraId="1C4034FD" w14:textId="77777777" w:rsidR="00585F2A" w:rsidRDefault="00585F2A" w:rsidP="00585F2A"/>
    <w:p w14:paraId="464BAF46" w14:textId="60346722" w:rsidR="00585F2A" w:rsidRPr="006B0F6B" w:rsidRDefault="00585F2A" w:rsidP="00585F2A">
      <w:r w:rsidRPr="006B0F6B">
        <w:t xml:space="preserve">The recoverable amount at 31 December 2024 is based on VIU. VIU is determined by discounting the future cash flows </w:t>
      </w:r>
      <w:r>
        <w:t>to be</w:t>
      </w:r>
      <w:r w:rsidRPr="006B0F6B">
        <w:t xml:space="preserve"> generated from the continuing use of the hotel. Following the impairment assessment carried out at 31 December 2024, there was no impairment of goodwill.</w:t>
      </w:r>
    </w:p>
    <w:p w14:paraId="60F5807F" w14:textId="77777777" w:rsidR="00585F2A" w:rsidRDefault="00585F2A">
      <w:pPr>
        <w:pStyle w:val="Heading-2"/>
      </w:pPr>
    </w:p>
    <w:p w14:paraId="1B1303F5" w14:textId="663D83C8" w:rsidR="0062640D" w:rsidRDefault="00C12A80">
      <w:pPr>
        <w:pStyle w:val="Heading-2"/>
      </w:pPr>
      <w:r>
        <w:t>Other intangible assets</w:t>
      </w:r>
    </w:p>
    <w:p w14:paraId="438B9A81" w14:textId="77777777" w:rsidR="0062640D" w:rsidRDefault="00C12A80">
      <w:r>
        <w:t>Other intangible assets are fully amortised at 31 December 2024 (2023: €0.3 million).</w:t>
      </w:r>
    </w:p>
    <w:sectPr w:rsidR="0062640D">
      <w:endnotePr>
        <w:numFmt w:val="decimal"/>
      </w:endnotePr>
      <w:pgSz w:w="11905" w:h="16837"/>
      <w:pgMar w:top="907" w:right="907" w:bottom="1190" w:left="90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Times New Roman"/>
    <w:panose1 w:val="020B06040202020202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uropa-Light">
    <w:altName w:val="Calibri"/>
    <w:panose1 w:val="020B0604020202020204"/>
    <w:charset w:val="4D"/>
    <w:family w:val="auto"/>
    <w:notTrueType/>
    <w:pitch w:val="variable"/>
    <w:sig w:usb0="00000007" w:usb1="00000000" w:usb2="00000000" w:usb3="00000000" w:csb0="00000093" w:csb1="00000000"/>
  </w:font>
  <w:font w:name="Europa-Bold">
    <w:altName w:val="Calibri"/>
    <w:panose1 w:val="020B0604020202020204"/>
    <w:charset w:val="4D"/>
    <w:family w:val="auto"/>
    <w:notTrueType/>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GT Alpina Light">
    <w:altName w:val="Calibri"/>
    <w:panose1 w:val="00000000000000000000"/>
    <w:charset w:val="4D"/>
    <w:family w:val="auto"/>
    <w:pitch w:val="variable"/>
    <w:sig w:usb0="A00000FF" w:usb1="4200F4FB" w:usb2="00000000" w:usb3="00000000" w:csb0="00000093" w:csb1="00000000"/>
  </w:font>
  <w:font w:name="Europa-Regular">
    <w:altName w:val="Calibri"/>
    <w:panose1 w:val="020B0604020202020204"/>
    <w:charset w:val="4D"/>
    <w:family w:val="auto"/>
    <w:notTrueType/>
    <w:pitch w:val="variable"/>
    <w:sig w:usb0="00000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72A24"/>
    <w:multiLevelType w:val="singleLevel"/>
    <w:tmpl w:val="D20800AA"/>
    <w:lvl w:ilvl="0">
      <w:numFmt w:val="bullet"/>
      <w:pStyle w:val="List-Unordered"/>
      <w:lvlText w:val="•"/>
      <w:lvlJc w:val="left"/>
      <w:pPr>
        <w:ind w:left="170" w:hanging="170"/>
      </w:pPr>
    </w:lvl>
  </w:abstractNum>
  <w:num w:numId="1" w16cid:durableId="2041201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ocumentProtection w:edit="trackedChanges" w:enforcement="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0D"/>
    <w:rsid w:val="00012662"/>
    <w:rsid w:val="00016171"/>
    <w:rsid w:val="0003379C"/>
    <w:rsid w:val="00052080"/>
    <w:rsid w:val="00065F22"/>
    <w:rsid w:val="00071779"/>
    <w:rsid w:val="000C6713"/>
    <w:rsid w:val="000E3A05"/>
    <w:rsid w:val="000E5EC3"/>
    <w:rsid w:val="000F122C"/>
    <w:rsid w:val="000F528B"/>
    <w:rsid w:val="0012274E"/>
    <w:rsid w:val="001309C0"/>
    <w:rsid w:val="00182968"/>
    <w:rsid w:val="00183BB9"/>
    <w:rsid w:val="00185697"/>
    <w:rsid w:val="00187157"/>
    <w:rsid w:val="0019715E"/>
    <w:rsid w:val="001A391A"/>
    <w:rsid w:val="001B1A7C"/>
    <w:rsid w:val="001D58A0"/>
    <w:rsid w:val="001E0521"/>
    <w:rsid w:val="001F1B08"/>
    <w:rsid w:val="001F47B8"/>
    <w:rsid w:val="001F491D"/>
    <w:rsid w:val="00215A35"/>
    <w:rsid w:val="00216515"/>
    <w:rsid w:val="00223039"/>
    <w:rsid w:val="002435CC"/>
    <w:rsid w:val="00243AB8"/>
    <w:rsid w:val="00272B1F"/>
    <w:rsid w:val="00272DD4"/>
    <w:rsid w:val="0028010B"/>
    <w:rsid w:val="002904A3"/>
    <w:rsid w:val="00292A7C"/>
    <w:rsid w:val="002B12FF"/>
    <w:rsid w:val="002C6378"/>
    <w:rsid w:val="00327F6E"/>
    <w:rsid w:val="0033144F"/>
    <w:rsid w:val="00335082"/>
    <w:rsid w:val="003631F8"/>
    <w:rsid w:val="00385937"/>
    <w:rsid w:val="003916DE"/>
    <w:rsid w:val="003A2E74"/>
    <w:rsid w:val="00412664"/>
    <w:rsid w:val="00416EAC"/>
    <w:rsid w:val="004310ED"/>
    <w:rsid w:val="004453B7"/>
    <w:rsid w:val="00455AE8"/>
    <w:rsid w:val="00474801"/>
    <w:rsid w:val="00483DBA"/>
    <w:rsid w:val="004A54E4"/>
    <w:rsid w:val="004C76C6"/>
    <w:rsid w:val="005077F4"/>
    <w:rsid w:val="005171DD"/>
    <w:rsid w:val="00564B5B"/>
    <w:rsid w:val="00565E9B"/>
    <w:rsid w:val="00585F2A"/>
    <w:rsid w:val="00587673"/>
    <w:rsid w:val="005E72B0"/>
    <w:rsid w:val="005F6C5C"/>
    <w:rsid w:val="00616A44"/>
    <w:rsid w:val="0062640D"/>
    <w:rsid w:val="00637921"/>
    <w:rsid w:val="00647696"/>
    <w:rsid w:val="00654782"/>
    <w:rsid w:val="00695FDF"/>
    <w:rsid w:val="006E74F0"/>
    <w:rsid w:val="00711584"/>
    <w:rsid w:val="007351BD"/>
    <w:rsid w:val="00737DD5"/>
    <w:rsid w:val="00744CE5"/>
    <w:rsid w:val="007746C0"/>
    <w:rsid w:val="00781185"/>
    <w:rsid w:val="007914D2"/>
    <w:rsid w:val="007B5001"/>
    <w:rsid w:val="007B5830"/>
    <w:rsid w:val="007D6844"/>
    <w:rsid w:val="007E4C49"/>
    <w:rsid w:val="007F042B"/>
    <w:rsid w:val="00810675"/>
    <w:rsid w:val="0081559D"/>
    <w:rsid w:val="00845A8E"/>
    <w:rsid w:val="00851E81"/>
    <w:rsid w:val="00857CBF"/>
    <w:rsid w:val="0086577C"/>
    <w:rsid w:val="00871892"/>
    <w:rsid w:val="00872A7F"/>
    <w:rsid w:val="0087319D"/>
    <w:rsid w:val="00876ECE"/>
    <w:rsid w:val="008C2BDB"/>
    <w:rsid w:val="008E60DC"/>
    <w:rsid w:val="008F1160"/>
    <w:rsid w:val="009013FB"/>
    <w:rsid w:val="00907779"/>
    <w:rsid w:val="00927983"/>
    <w:rsid w:val="00937C08"/>
    <w:rsid w:val="00945D6F"/>
    <w:rsid w:val="0096560F"/>
    <w:rsid w:val="009820A4"/>
    <w:rsid w:val="00983E1F"/>
    <w:rsid w:val="00983F55"/>
    <w:rsid w:val="00994DF8"/>
    <w:rsid w:val="009B04CA"/>
    <w:rsid w:val="009B3F70"/>
    <w:rsid w:val="009B7C44"/>
    <w:rsid w:val="009C4D1F"/>
    <w:rsid w:val="009C76D9"/>
    <w:rsid w:val="009D521C"/>
    <w:rsid w:val="009E6112"/>
    <w:rsid w:val="009F134C"/>
    <w:rsid w:val="009F333F"/>
    <w:rsid w:val="00A0111D"/>
    <w:rsid w:val="00A16683"/>
    <w:rsid w:val="00A813CA"/>
    <w:rsid w:val="00AC0F3D"/>
    <w:rsid w:val="00AC6BCD"/>
    <w:rsid w:val="00AE333D"/>
    <w:rsid w:val="00AF05AF"/>
    <w:rsid w:val="00AF36FE"/>
    <w:rsid w:val="00B00C34"/>
    <w:rsid w:val="00B14779"/>
    <w:rsid w:val="00B14A92"/>
    <w:rsid w:val="00B24E12"/>
    <w:rsid w:val="00B24E7C"/>
    <w:rsid w:val="00B37879"/>
    <w:rsid w:val="00B45D43"/>
    <w:rsid w:val="00B51EF1"/>
    <w:rsid w:val="00B706BB"/>
    <w:rsid w:val="00B80861"/>
    <w:rsid w:val="00B82944"/>
    <w:rsid w:val="00B844D1"/>
    <w:rsid w:val="00BA4F82"/>
    <w:rsid w:val="00BD5A74"/>
    <w:rsid w:val="00BE259F"/>
    <w:rsid w:val="00BF2603"/>
    <w:rsid w:val="00BF4833"/>
    <w:rsid w:val="00BF7B26"/>
    <w:rsid w:val="00C020FA"/>
    <w:rsid w:val="00C07DA0"/>
    <w:rsid w:val="00C12A80"/>
    <w:rsid w:val="00C14826"/>
    <w:rsid w:val="00C24A2F"/>
    <w:rsid w:val="00C27BB5"/>
    <w:rsid w:val="00C338D2"/>
    <w:rsid w:val="00C3505E"/>
    <w:rsid w:val="00C40BA0"/>
    <w:rsid w:val="00C57339"/>
    <w:rsid w:val="00C66773"/>
    <w:rsid w:val="00C97975"/>
    <w:rsid w:val="00CA3BA1"/>
    <w:rsid w:val="00CF1263"/>
    <w:rsid w:val="00CF1327"/>
    <w:rsid w:val="00CF1C54"/>
    <w:rsid w:val="00CF5807"/>
    <w:rsid w:val="00CF5F24"/>
    <w:rsid w:val="00D17BFC"/>
    <w:rsid w:val="00D571CF"/>
    <w:rsid w:val="00D6425E"/>
    <w:rsid w:val="00D64626"/>
    <w:rsid w:val="00D67D00"/>
    <w:rsid w:val="00D71364"/>
    <w:rsid w:val="00D76CEA"/>
    <w:rsid w:val="00D76FF6"/>
    <w:rsid w:val="00D920F1"/>
    <w:rsid w:val="00DB5DC1"/>
    <w:rsid w:val="00E25F28"/>
    <w:rsid w:val="00E34D4D"/>
    <w:rsid w:val="00E41336"/>
    <w:rsid w:val="00E4392B"/>
    <w:rsid w:val="00E45C03"/>
    <w:rsid w:val="00E52B9E"/>
    <w:rsid w:val="00E836F6"/>
    <w:rsid w:val="00E91BEF"/>
    <w:rsid w:val="00EA59C8"/>
    <w:rsid w:val="00EA7661"/>
    <w:rsid w:val="00EB3809"/>
    <w:rsid w:val="00F00FD6"/>
    <w:rsid w:val="00F0339C"/>
    <w:rsid w:val="00F1211A"/>
    <w:rsid w:val="00F1371F"/>
    <w:rsid w:val="00F240E8"/>
    <w:rsid w:val="00F278E0"/>
    <w:rsid w:val="00F369F1"/>
    <w:rsid w:val="00F772C3"/>
    <w:rsid w:val="00FC672A"/>
    <w:rsid w:val="00FE7CC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7EB9"/>
  <w15:docId w15:val="{4CE92126-D868-4E74-BD87-4F4059A9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w:sz w:val="24"/>
        <w:lang w:val="en-IE" w:eastAsia="en-GB" w:bidi="ar-SA"/>
      </w:rPr>
    </w:rPrDefault>
    <w:pPrDefault>
      <w:pPr>
        <w:spacing w:line="288" w:lineRule="auto"/>
      </w:pPr>
    </w:pPrDefault>
  </w:docDefaults>
  <w:latentStyles w:defLockedState="0" w:defUIPriority="99" w:defSemiHidden="0" w:defUnhideWhenUsed="0" w:defQFormat="0" w:count="376">
    <w:lsdException w:name="Normal" w:semiHidden="1"/>
    <w:lsdException w:name="heading 1" w:semiHidden="1"/>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0F528B"/>
    <w:pPr>
      <w:spacing w:line="220" w:lineRule="exact"/>
    </w:pPr>
    <w:rPr>
      <w:rFonts w:ascii="Arial" w:hAnsi="Arial" w:cs="Europa-Light"/>
      <w:sz w:val="1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unts">
    <w:name w:val="Accounts"/>
    <w:basedOn w:val="Normal"/>
    <w:qFormat/>
    <w:pPr>
      <w:ind w:right="56"/>
      <w:jc w:val="right"/>
    </w:pPr>
  </w:style>
  <w:style w:type="paragraph" w:customStyle="1" w:styleId="AccountsBold">
    <w:name w:val="Accounts Bold"/>
    <w:basedOn w:val="Accounts"/>
    <w:qFormat/>
    <w:rsid w:val="000F528B"/>
    <w:rPr>
      <w:rFonts w:cs="Europa-Bold"/>
      <w:b/>
    </w:rPr>
  </w:style>
  <w:style w:type="paragraph" w:customStyle="1" w:styleId="Accounts-Bracket">
    <w:name w:val="Accounts-Bracket"/>
    <w:basedOn w:val="Accounts"/>
    <w:qFormat/>
    <w:pPr>
      <w:ind w:right="0"/>
    </w:pPr>
  </w:style>
  <w:style w:type="paragraph" w:customStyle="1" w:styleId="Account-BracketBold">
    <w:name w:val="Account-Bracket Bold"/>
    <w:basedOn w:val="Accounts-Bracket"/>
    <w:qFormat/>
    <w:rsid w:val="000F528B"/>
    <w:rPr>
      <w:rFonts w:cs="Europa-Bold"/>
      <w:b/>
    </w:rPr>
  </w:style>
  <w:style w:type="paragraph" w:customStyle="1" w:styleId="List-Unordered">
    <w:name w:val="List-Unordered"/>
    <w:basedOn w:val="Normal"/>
    <w:qFormat/>
    <w:pPr>
      <w:numPr>
        <w:numId w:val="1"/>
      </w:numPr>
    </w:pPr>
  </w:style>
  <w:style w:type="paragraph" w:customStyle="1" w:styleId="Section-Heading">
    <w:name w:val="Section-Heading"/>
    <w:qFormat/>
    <w:rsid w:val="000F528B"/>
    <w:pPr>
      <w:spacing w:line="320" w:lineRule="exact"/>
    </w:pPr>
    <w:rPr>
      <w:rFonts w:ascii="Georgia" w:hAnsi="Georgia" w:cs="GT Alpina Light"/>
      <w:caps/>
      <w:color w:val="021844"/>
      <w:sz w:val="28"/>
      <w:lang w:val="en-GB"/>
    </w:rPr>
  </w:style>
  <w:style w:type="paragraph" w:customStyle="1" w:styleId="Heading-1">
    <w:name w:val="Heading-1"/>
    <w:basedOn w:val="Section-Heading"/>
    <w:qFormat/>
    <w:rsid w:val="000F528B"/>
    <w:pPr>
      <w:spacing w:line="240" w:lineRule="exact"/>
    </w:pPr>
    <w:rPr>
      <w:rFonts w:ascii="Arial" w:hAnsi="Arial" w:cs="Europa-Bold"/>
      <w:b/>
      <w:caps w:val="0"/>
      <w:color w:val="FF777C"/>
      <w:sz w:val="19"/>
    </w:rPr>
  </w:style>
  <w:style w:type="paragraph" w:customStyle="1" w:styleId="Heading-2">
    <w:name w:val="Heading-2"/>
    <w:basedOn w:val="Heading-1"/>
    <w:qFormat/>
    <w:rPr>
      <w:color w:val="000000"/>
      <w:sz w:val="17"/>
    </w:rPr>
  </w:style>
  <w:style w:type="paragraph" w:customStyle="1" w:styleId="Heading-3">
    <w:name w:val="Heading-3"/>
    <w:basedOn w:val="Heading-2"/>
    <w:qFormat/>
    <w:rsid w:val="000F528B"/>
    <w:rPr>
      <w:rFonts w:cs="Europa-Regular"/>
      <w:i/>
    </w:rPr>
  </w:style>
  <w:style w:type="paragraph" w:customStyle="1" w:styleId="Sub-Section-Heading">
    <w:name w:val="Sub-Section-Heading"/>
    <w:basedOn w:val="Section-Heading"/>
    <w:qFormat/>
    <w:rsid w:val="000F528B"/>
    <w:rPr>
      <w:rFonts w:ascii="Arial" w:hAnsi="Arial" w:cs="Europa-Light"/>
      <w:sz w:val="24"/>
    </w:rPr>
  </w:style>
  <w:style w:type="paragraph" w:customStyle="1" w:styleId="Table-Headings">
    <w:name w:val="Table-Headings"/>
    <w:basedOn w:val="Section-Heading"/>
    <w:qFormat/>
    <w:rsid w:val="000F528B"/>
    <w:pPr>
      <w:spacing w:line="200" w:lineRule="exact"/>
      <w:ind w:right="56"/>
      <w:jc w:val="right"/>
    </w:pPr>
    <w:rPr>
      <w:rFonts w:ascii="Arial" w:hAnsi="Arial" w:cs="Europa-Bold"/>
      <w:b/>
      <w:caps w:val="0"/>
      <w:color w:val="FF777C"/>
      <w:sz w:val="14"/>
    </w:rPr>
  </w:style>
  <w:style w:type="character" w:customStyle="1" w:styleId="Bullet">
    <w:name w:val="Bullet"/>
    <w:qFormat/>
  </w:style>
  <w:style w:type="character" w:styleId="Hyperlink">
    <w:name w:val="Hyperlink"/>
    <w:qFormat/>
    <w:rPr>
      <w:color w:val="E56B70"/>
      <w:u w:val="single"/>
    </w:rPr>
  </w:style>
  <w:style w:type="character" w:customStyle="1" w:styleId="Italic">
    <w:name w:val="Italic"/>
    <w:qFormat/>
    <w:rsid w:val="000F528B"/>
    <w:rPr>
      <w:rFonts w:ascii="Arial" w:hAnsi="Arial" w:cs="Europa-Light"/>
      <w:i/>
    </w:rPr>
  </w:style>
  <w:style w:type="table" w:customStyle="1" w:styleId="DefaultTable">
    <w:name w:val="Default Table"/>
    <w:qFormat/>
    <w:tblPr>
      <w:tblInd w:w="0" w:type="dxa"/>
      <w:tblBorders>
        <w:top w:val="single" w:sz="8" w:space="0" w:color="000000"/>
        <w:left w:val="single" w:sz="8" w:space="0" w:color="000000"/>
        <w:bottom w:val="single" w:sz="8" w:space="0" w:color="000000"/>
        <w:right w:val="single" w:sz="8" w:space="0" w:color="000000"/>
        <w:insideH w:val="single" w:sz="8" w:space="0" w:color="auto"/>
        <w:insideV w:val="single" w:sz="8" w:space="0" w:color="auto"/>
      </w:tblBorders>
      <w:tblCellMar>
        <w:top w:w="0" w:type="dxa"/>
        <w:left w:w="0" w:type="dxa"/>
        <w:bottom w:w="0" w:type="dxa"/>
        <w:right w:w="0" w:type="dxa"/>
      </w:tblCellMar>
    </w:tblPr>
  </w:style>
  <w:style w:type="table" w:customStyle="1" w:styleId="Base-Table">
    <w:name w:val="Base-Table"/>
    <w:basedOn w:val="DefaultTable"/>
    <w:qFormat/>
    <w:tblPr>
      <w:tblBorders>
        <w:top w:val="none" w:sz="8" w:space="0" w:color="auto"/>
        <w:left w:val="none" w:sz="8" w:space="0" w:color="auto"/>
        <w:bottom w:val="none" w:sz="8" w:space="0" w:color="auto"/>
        <w:right w:val="none" w:sz="8" w:space="0" w:color="auto"/>
        <w:insideH w:val="none" w:sz="0" w:space="0" w:color="auto"/>
        <w:insideV w:val="none" w:sz="0" w:space="0" w:color="auto"/>
      </w:tblBorders>
    </w:tblPr>
  </w:style>
  <w:style w:type="table" w:customStyle="1" w:styleId="Accounts-Table">
    <w:name w:val="Accounts-Table"/>
    <w:basedOn w:val="Base-Table"/>
    <w:qFormat/>
    <w:tblPr/>
  </w:style>
  <w:style w:type="table" w:customStyle="1" w:styleId="BasicTable">
    <w:name w:val="Basic Table"/>
    <w:basedOn w:val="DefaultTable"/>
    <w:qFormat/>
    <w:tblPr>
      <w:tblBorders>
        <w:top w:val="none" w:sz="0" w:space="0" w:color="auto"/>
        <w:left w:val="none" w:sz="0" w:space="0" w:color="auto"/>
        <w:bottom w:val="none" w:sz="0" w:space="0" w:color="auto"/>
        <w:right w:val="none" w:sz="0" w:space="0" w:color="auto"/>
        <w:insideH w:val="single" w:sz="8" w:space="0" w:color="000000"/>
        <w:insideV w:val="single" w:sz="8" w:space="0" w:color="000000"/>
      </w:tblBorders>
    </w:tblPr>
  </w:style>
  <w:style w:type="paragraph" w:styleId="Revision">
    <w:name w:val="Revision"/>
    <w:hidden/>
    <w:uiPriority w:val="99"/>
    <w:semiHidden/>
    <w:rsid w:val="0012274E"/>
    <w:pPr>
      <w:spacing w:line="240" w:lineRule="auto"/>
    </w:pPr>
    <w:rPr>
      <w:rFonts w:ascii="Arial" w:hAnsi="Arial" w:cs="Europa-Light"/>
      <w:sz w:val="17"/>
      <w:lang w:val="en-GB"/>
    </w:rPr>
  </w:style>
  <w:style w:type="character" w:styleId="UnresolvedMention">
    <w:name w:val="Unresolved Mention"/>
    <w:basedOn w:val="DefaultParagraphFont"/>
    <w:uiPriority w:val="99"/>
    <w:semiHidden/>
    <w:rsid w:val="001D58A0"/>
    <w:rPr>
      <w:color w:val="605E5C"/>
      <w:shd w:val="clear" w:color="auto" w:fill="E1DFDD"/>
    </w:rPr>
  </w:style>
  <w:style w:type="character" w:styleId="FollowedHyperlink">
    <w:name w:val="FollowedHyperlink"/>
    <w:basedOn w:val="DefaultParagraphFont"/>
    <w:uiPriority w:val="99"/>
    <w:semiHidden/>
    <w:rsid w:val="001D58A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082651">
      <w:bodyDiv w:val="1"/>
      <w:marLeft w:val="0"/>
      <w:marRight w:val="0"/>
      <w:marTop w:val="0"/>
      <w:marBottom w:val="0"/>
      <w:divBdr>
        <w:top w:val="none" w:sz="0" w:space="0" w:color="auto"/>
        <w:left w:val="none" w:sz="0" w:space="0" w:color="auto"/>
        <w:bottom w:val="none" w:sz="0" w:space="0" w:color="auto"/>
        <w:right w:val="none" w:sz="0" w:space="0" w:color="auto"/>
      </w:divBdr>
    </w:div>
    <w:div w:id="1682464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8BCF3-BC76-4B6A-8C44-67C7AE526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13837</Words>
  <Characters>78873</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Em Software</Company>
  <LinksUpToDate>false</LinksUpToDate>
  <CharactersWithSpaces>92525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Newman</dc:creator>
  <cp:keywords/>
  <cp:lastModifiedBy>Mati</cp:lastModifiedBy>
  <cp:revision>7</cp:revision>
  <cp:lastPrinted>2025-02-26T06:36:00Z</cp:lastPrinted>
  <dcterms:created xsi:type="dcterms:W3CDTF">2025-02-26T19:31:00Z</dcterms:created>
  <dcterms:modified xsi:type="dcterms:W3CDTF">2025-03-04T15:47:00Z</dcterms:modified>
</cp:coreProperties>
</file>